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76" w:rsidRPr="00F32476" w:rsidRDefault="00F32476" w:rsidP="00F32476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i/>
          <w:iCs/>
          <w:sz w:val="28"/>
          <w:szCs w:val="28"/>
        </w:rPr>
      </w:pPr>
      <w:r w:rsidRPr="00F32476">
        <w:rPr>
          <w:rFonts w:ascii="Comic Sans MS" w:hAnsi="Comic Sans MS"/>
          <w:b/>
          <w:bCs/>
          <w:i/>
          <w:iCs/>
          <w:sz w:val="28"/>
          <w:szCs w:val="28"/>
        </w:rPr>
        <w:t>REGLEMENT DE LA BOURSE AUX JOUETS 201</w:t>
      </w:r>
      <w:r w:rsidR="00261D09">
        <w:rPr>
          <w:rFonts w:ascii="Comic Sans MS" w:hAnsi="Comic Sans MS"/>
          <w:b/>
          <w:bCs/>
          <w:i/>
          <w:iCs/>
          <w:sz w:val="28"/>
          <w:szCs w:val="28"/>
        </w:rPr>
        <w:t>9</w:t>
      </w:r>
      <w:r w:rsidRPr="00F32476">
        <w:rPr>
          <w:rFonts w:ascii="Comic Sans MS" w:hAnsi="Comic Sans MS"/>
          <w:b/>
          <w:bCs/>
          <w:i/>
          <w:iCs/>
          <w:sz w:val="28"/>
          <w:szCs w:val="28"/>
        </w:rPr>
        <w:t xml:space="preserve"> – LE PIN</w:t>
      </w:r>
    </w:p>
    <w:p w:rsidR="00F32476" w:rsidRDefault="00F32476" w:rsidP="00F32476">
      <w:pPr>
        <w:autoSpaceDE w:val="0"/>
        <w:autoSpaceDN w:val="0"/>
        <w:adjustRightInd w:val="0"/>
        <w:rPr>
          <w:b/>
          <w:bCs/>
        </w:rPr>
      </w:pP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1 :</w:t>
      </w:r>
    </w:p>
    <w:p w:rsidR="00F32476" w:rsidRPr="00F32476" w:rsidRDefault="00F32476" w:rsidP="00F32476">
      <w:pPr>
        <w:autoSpaceDE w:val="0"/>
        <w:autoSpaceDN w:val="0"/>
        <w:adjustRightInd w:val="0"/>
      </w:pPr>
      <w:r>
        <w:t>L</w:t>
      </w:r>
      <w:r w:rsidR="00C400A1">
        <w:t>’association des parents</w:t>
      </w:r>
      <w:r>
        <w:t xml:space="preserve"> d’élèves de l’école de LE PIN</w:t>
      </w:r>
      <w:r w:rsidRPr="00F32476">
        <w:t xml:space="preserve"> </w:t>
      </w:r>
      <w:r w:rsidR="00C400A1">
        <w:t xml:space="preserve">(APE </w:t>
      </w:r>
      <w:r w:rsidR="00261D09">
        <w:t>LES CO’PIN D’ECOLE</w:t>
      </w:r>
      <w:r w:rsidR="00C400A1">
        <w:t xml:space="preserve">) </w:t>
      </w:r>
      <w:r w:rsidRPr="00F32476">
        <w:t>organise</w:t>
      </w:r>
      <w:r>
        <w:t>nt</w:t>
      </w:r>
      <w:r w:rsidRPr="00F32476">
        <w:t xml:space="preserve"> une bourse aux jouets ouverte à tout public. Toutes les</w:t>
      </w:r>
      <w:r>
        <w:t xml:space="preserve"> </w:t>
      </w:r>
      <w:r w:rsidRPr="00F32476">
        <w:t>personnes s’occupant de l’organisation et du bon déroulement de cet évènement sont des bénévoles.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2 :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>Le dépôt, la vente des jouets et la restitution des invendus se dérouleront aux dates suivantes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>DEPOT DES JOUETS</w:t>
      </w:r>
      <w:r w:rsidR="00380A86">
        <w:t xml:space="preserve"> </w:t>
      </w:r>
      <w:r w:rsidRPr="00F32476">
        <w:t xml:space="preserve">: vendredi </w:t>
      </w:r>
      <w:r w:rsidR="00261D09">
        <w:t>22</w:t>
      </w:r>
      <w:r w:rsidR="00601CB6">
        <w:t xml:space="preserve"> novembre</w:t>
      </w:r>
      <w:r w:rsidRPr="00F32476">
        <w:t xml:space="preserve"> de </w:t>
      </w:r>
      <w:r w:rsidR="00601CB6">
        <w:t>1</w:t>
      </w:r>
      <w:r w:rsidR="00C400A1">
        <w:t>6</w:t>
      </w:r>
      <w:r w:rsidRPr="00F32476">
        <w:t>h</w:t>
      </w:r>
      <w:r w:rsidR="00C400A1">
        <w:t>30</w:t>
      </w:r>
      <w:r w:rsidRPr="00F32476">
        <w:t xml:space="preserve"> </w:t>
      </w:r>
      <w:r w:rsidR="00414A6C">
        <w:t>à</w:t>
      </w:r>
      <w:r w:rsidRPr="00F32476">
        <w:t xml:space="preserve"> 1</w:t>
      </w:r>
      <w:r w:rsidR="00601CB6">
        <w:t>8</w:t>
      </w:r>
      <w:r w:rsidRPr="00F32476">
        <w:t>h</w:t>
      </w:r>
      <w:r w:rsidR="00261D09">
        <w:t>3</w:t>
      </w:r>
      <w:r w:rsidR="00601CB6">
        <w:t>0</w:t>
      </w:r>
      <w:r w:rsidRPr="00F32476">
        <w:t xml:space="preserve"> et </w:t>
      </w:r>
      <w:r w:rsidR="0069239A">
        <w:t xml:space="preserve">le samedi </w:t>
      </w:r>
      <w:r w:rsidR="00261D09">
        <w:t>23</w:t>
      </w:r>
      <w:r w:rsidR="00601CB6">
        <w:t xml:space="preserve"> novembre </w:t>
      </w:r>
      <w:r w:rsidRPr="00F32476">
        <w:t xml:space="preserve">de </w:t>
      </w:r>
      <w:r w:rsidR="0069239A">
        <w:t>10</w:t>
      </w:r>
      <w:r w:rsidR="00601CB6">
        <w:t xml:space="preserve">h </w:t>
      </w:r>
      <w:r w:rsidR="007A7A27">
        <w:t>à</w:t>
      </w:r>
      <w:r w:rsidR="00601CB6">
        <w:t xml:space="preserve"> 12</w:t>
      </w:r>
      <w:r w:rsidRPr="00F32476">
        <w:t>h.</w:t>
      </w:r>
    </w:p>
    <w:p w:rsidR="00F32476" w:rsidRPr="00F32476" w:rsidRDefault="00601CB6" w:rsidP="00F32476">
      <w:pPr>
        <w:autoSpaceDE w:val="0"/>
        <w:autoSpaceDN w:val="0"/>
        <w:adjustRightInd w:val="0"/>
      </w:pPr>
      <w:r>
        <w:t xml:space="preserve">VENTE : dimanche </w:t>
      </w:r>
      <w:r w:rsidR="00261D09">
        <w:t>24</w:t>
      </w:r>
      <w:r w:rsidR="00C400A1">
        <w:t xml:space="preserve"> novembre</w:t>
      </w:r>
      <w:r>
        <w:t xml:space="preserve"> de 9</w:t>
      </w:r>
      <w:r w:rsidR="00F32476" w:rsidRPr="00F32476">
        <w:t>h a 1</w:t>
      </w:r>
      <w:r>
        <w:t>7</w:t>
      </w:r>
      <w:r w:rsidR="00F32476" w:rsidRPr="00F32476">
        <w:t>h</w:t>
      </w:r>
      <w:r w:rsidR="007A7A27">
        <w:t>.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 xml:space="preserve">RESTITUTION DES INVENDUS ET PAIEMENT DES DEPOSITAIRES : </w:t>
      </w:r>
      <w:r w:rsidR="00AF4357">
        <w:t xml:space="preserve">lundi </w:t>
      </w:r>
      <w:r w:rsidR="00261D09">
        <w:t>25</w:t>
      </w:r>
      <w:r w:rsidR="00C400A1">
        <w:t xml:space="preserve"> novembre</w:t>
      </w:r>
      <w:r w:rsidR="00601CB6">
        <w:t xml:space="preserve"> </w:t>
      </w:r>
      <w:r w:rsidRPr="00F32476">
        <w:t>de</w:t>
      </w:r>
      <w:r w:rsidR="00601CB6">
        <w:t xml:space="preserve"> </w:t>
      </w:r>
      <w:r w:rsidR="00AF4357">
        <w:t>16</w:t>
      </w:r>
      <w:r w:rsidRPr="00F32476">
        <w:t>h</w:t>
      </w:r>
      <w:r w:rsidR="00C400A1">
        <w:t>30</w:t>
      </w:r>
      <w:r w:rsidRPr="00F32476">
        <w:t xml:space="preserve"> à </w:t>
      </w:r>
      <w:r w:rsidR="00601CB6">
        <w:t>1</w:t>
      </w:r>
      <w:r w:rsidR="00AF4357">
        <w:t>8</w:t>
      </w:r>
      <w:r w:rsidRPr="00F32476">
        <w:t>h</w:t>
      </w:r>
      <w:r w:rsidR="007A7A27">
        <w:t>.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 xml:space="preserve">LIEU : </w:t>
      </w:r>
      <w:r w:rsidR="00261D09">
        <w:t>salle des fêtes</w:t>
      </w:r>
      <w:r w:rsidR="00601CB6">
        <w:t xml:space="preserve"> du PIN</w:t>
      </w:r>
      <w:r w:rsidRPr="00F32476">
        <w:t>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3 :</w:t>
      </w:r>
    </w:p>
    <w:p w:rsidR="00601CB6" w:rsidRPr="00601CB6" w:rsidRDefault="00261D09" w:rsidP="00601CB6">
      <w:pPr>
        <w:autoSpaceDE w:val="0"/>
        <w:autoSpaceDN w:val="0"/>
        <w:adjustRightInd w:val="0"/>
        <w:rPr>
          <w:color w:val="000000"/>
        </w:rPr>
      </w:pPr>
      <w:r>
        <w:t>L’</w:t>
      </w:r>
      <w:r>
        <w:t>APE LES CO’PIN D’ECOLE</w:t>
      </w:r>
      <w:r w:rsidRPr="00601CB6">
        <w:rPr>
          <w:color w:val="000000"/>
        </w:rPr>
        <w:t xml:space="preserve"> </w:t>
      </w:r>
      <w:r w:rsidR="00601CB6" w:rsidRPr="00601CB6">
        <w:rPr>
          <w:color w:val="000000"/>
        </w:rPr>
        <w:t>met</w:t>
      </w:r>
      <w:r w:rsidR="00C400A1">
        <w:rPr>
          <w:color w:val="000000"/>
        </w:rPr>
        <w:t>s</w:t>
      </w:r>
      <w:r w:rsidR="00601CB6" w:rsidRPr="00601CB6">
        <w:rPr>
          <w:color w:val="000000"/>
        </w:rPr>
        <w:t xml:space="preserve"> à la disposition des vendeurs des listes de vente (Pour faciliter le dépôt et la vente des objets les vendeurs devront compléter </w:t>
      </w:r>
      <w:r w:rsidR="00601CB6">
        <w:rPr>
          <w:color w:val="000000"/>
        </w:rPr>
        <w:t>une</w:t>
      </w:r>
      <w:r w:rsidR="00601CB6" w:rsidRPr="00601CB6">
        <w:rPr>
          <w:color w:val="000000"/>
        </w:rPr>
        <w:t xml:space="preserve"> liste. </w:t>
      </w:r>
    </w:p>
    <w:p w:rsidR="00601CB6" w:rsidRPr="00601CB6" w:rsidRDefault="00601CB6" w:rsidP="00601CB6">
      <w:pPr>
        <w:autoSpaceDE w:val="0"/>
        <w:autoSpaceDN w:val="0"/>
        <w:adjustRightInd w:val="0"/>
        <w:rPr>
          <w:color w:val="000000"/>
        </w:rPr>
      </w:pPr>
      <w:r w:rsidRPr="00601CB6">
        <w:rPr>
          <w:color w:val="000000"/>
        </w:rPr>
        <w:t>Une liste comprend un maximum de 1</w:t>
      </w:r>
      <w:r>
        <w:rPr>
          <w:color w:val="000000"/>
        </w:rPr>
        <w:t>0</w:t>
      </w:r>
      <w:r w:rsidRPr="00601CB6">
        <w:rPr>
          <w:color w:val="000000"/>
        </w:rPr>
        <w:t xml:space="preserve"> articles ; il n’y a pas de nombre maximum de liste par vendeur. </w:t>
      </w:r>
    </w:p>
    <w:p w:rsidR="00601CB6" w:rsidRPr="00601CB6" w:rsidRDefault="00601CB6" w:rsidP="00601CB6">
      <w:pPr>
        <w:autoSpaceDE w:val="0"/>
        <w:autoSpaceDN w:val="0"/>
        <w:adjustRightInd w:val="0"/>
        <w:rPr>
          <w:color w:val="000000"/>
        </w:rPr>
      </w:pPr>
      <w:r w:rsidRPr="00601CB6">
        <w:rPr>
          <w:color w:val="000000"/>
        </w:rPr>
        <w:t>Chaque article devra comporter une étiquette (scotchée) précisant</w:t>
      </w:r>
      <w:r w:rsidR="0069239A">
        <w:rPr>
          <w:color w:val="000000"/>
        </w:rPr>
        <w:t xml:space="preserve"> le code vendeur, numéro du jouet </w:t>
      </w:r>
      <w:r w:rsidRPr="00601CB6">
        <w:rPr>
          <w:color w:val="000000"/>
        </w:rPr>
        <w:t xml:space="preserve">ainsi que le prix de vente. </w:t>
      </w:r>
      <w:r w:rsidR="0069239A">
        <w:rPr>
          <w:color w:val="000000"/>
        </w:rPr>
        <w:t>(code vendeur : 3</w:t>
      </w:r>
      <w:r w:rsidR="00261D09">
        <w:rPr>
          <w:color w:val="000000"/>
        </w:rPr>
        <w:t xml:space="preserve"> </w:t>
      </w:r>
      <w:r w:rsidR="0069239A">
        <w:rPr>
          <w:color w:val="000000"/>
        </w:rPr>
        <w:t>première</w:t>
      </w:r>
      <w:r w:rsidR="00261D09">
        <w:rPr>
          <w:color w:val="000000"/>
        </w:rPr>
        <w:t>s</w:t>
      </w:r>
      <w:r w:rsidR="0069239A">
        <w:rPr>
          <w:color w:val="000000"/>
        </w:rPr>
        <w:t xml:space="preserve"> lettre</w:t>
      </w:r>
      <w:r w:rsidR="00261D09">
        <w:rPr>
          <w:color w:val="000000"/>
        </w:rPr>
        <w:t>s</w:t>
      </w:r>
      <w:r w:rsidR="0069239A">
        <w:rPr>
          <w:color w:val="000000"/>
        </w:rPr>
        <w:t xml:space="preserve"> du nom de famille)</w:t>
      </w:r>
    </w:p>
    <w:p w:rsidR="00601CB6" w:rsidRPr="00601CB6" w:rsidRDefault="00601CB6" w:rsidP="00601CB6">
      <w:pPr>
        <w:autoSpaceDE w:val="0"/>
        <w:autoSpaceDN w:val="0"/>
        <w:adjustRightInd w:val="0"/>
        <w:rPr>
          <w:color w:val="000000"/>
        </w:rPr>
      </w:pPr>
      <w:r w:rsidRPr="00601CB6">
        <w:rPr>
          <w:color w:val="000000"/>
        </w:rPr>
        <w:t>Les listes devront être complétées et les articles étiquetés avant leur dépôt (et ceci afin de ne pas</w:t>
      </w:r>
      <w:r>
        <w:rPr>
          <w:color w:val="000000"/>
        </w:rPr>
        <w:t xml:space="preserve"> provoquer de file d’attente les jours</w:t>
      </w:r>
      <w:r w:rsidRPr="00601CB6">
        <w:rPr>
          <w:color w:val="000000"/>
        </w:rPr>
        <w:t xml:space="preserve"> dédié</w:t>
      </w:r>
      <w:r>
        <w:rPr>
          <w:color w:val="000000"/>
        </w:rPr>
        <w:t>s</w:t>
      </w:r>
      <w:r w:rsidRPr="00601CB6">
        <w:rPr>
          <w:color w:val="000000"/>
        </w:rPr>
        <w:t xml:space="preserve"> à la collecte des objets). </w:t>
      </w:r>
    </w:p>
    <w:p w:rsidR="00601CB6" w:rsidRPr="00601CB6" w:rsidRDefault="00601CB6" w:rsidP="00601CB6">
      <w:pPr>
        <w:autoSpaceDE w:val="0"/>
        <w:autoSpaceDN w:val="0"/>
        <w:adjustRightInd w:val="0"/>
        <w:rPr>
          <w:bCs/>
        </w:rPr>
      </w:pPr>
      <w:r w:rsidRPr="00601CB6">
        <w:rPr>
          <w:bCs/>
        </w:rPr>
        <w:t>Les listes pourront être envoyé</w:t>
      </w:r>
      <w:r w:rsidR="00B520EA">
        <w:rPr>
          <w:bCs/>
        </w:rPr>
        <w:t>e</w:t>
      </w:r>
      <w:r w:rsidRPr="00601CB6">
        <w:rPr>
          <w:bCs/>
        </w:rPr>
        <w:t xml:space="preserve">s par mail </w:t>
      </w:r>
      <w:r>
        <w:rPr>
          <w:bCs/>
        </w:rPr>
        <w:t>sur simple demande.</w:t>
      </w:r>
    </w:p>
    <w:p w:rsidR="00F32476" w:rsidRPr="00601CB6" w:rsidRDefault="00F32476" w:rsidP="00601CB6">
      <w:pPr>
        <w:autoSpaceDE w:val="0"/>
        <w:autoSpaceDN w:val="0"/>
        <w:adjustRightInd w:val="0"/>
        <w:rPr>
          <w:b/>
          <w:bCs/>
        </w:rPr>
      </w:pPr>
      <w:r w:rsidRPr="00601CB6">
        <w:rPr>
          <w:b/>
          <w:bCs/>
        </w:rPr>
        <w:t>Article 4 :</w:t>
      </w:r>
    </w:p>
    <w:p w:rsidR="00F32476" w:rsidRPr="00601CB6" w:rsidRDefault="00F32476" w:rsidP="00601CB6">
      <w:pPr>
        <w:autoSpaceDE w:val="0"/>
        <w:autoSpaceDN w:val="0"/>
        <w:adjustRightInd w:val="0"/>
      </w:pPr>
      <w:r w:rsidRPr="00601CB6">
        <w:t>La Bourse aux Jouets a pour objet de prendre en dépôt-vente des jouets. Les jouets de tout type sont les</w:t>
      </w:r>
      <w:r w:rsidR="00601CB6">
        <w:t xml:space="preserve"> </w:t>
      </w:r>
      <w:r w:rsidRPr="00601CB6">
        <w:t>bienvenus, tels que jeux vidéo, CD, DVD, livres, BD, peluches, jeux de plein air .… Bien sûr, cette liste</w:t>
      </w:r>
      <w:r w:rsidR="00601CB6">
        <w:t xml:space="preserve"> </w:t>
      </w:r>
      <w:r w:rsidRPr="00601CB6">
        <w:t>n'est pas exhaustive.</w:t>
      </w:r>
    </w:p>
    <w:p w:rsidR="00F32476" w:rsidRPr="00601CB6" w:rsidRDefault="00F32476" w:rsidP="00601CB6">
      <w:pPr>
        <w:autoSpaceDE w:val="0"/>
        <w:autoSpaceDN w:val="0"/>
        <w:adjustRightInd w:val="0"/>
      </w:pPr>
      <w:r w:rsidRPr="00601CB6">
        <w:t>Ne seront pas acceptés : les jouets sales, en mauvais état ou tout objet jugé non conforme dans une bourse</w:t>
      </w:r>
      <w:r w:rsidR="00601CB6">
        <w:t xml:space="preserve"> </w:t>
      </w:r>
      <w:r w:rsidRPr="00601CB6">
        <w:t>aux jouets.</w:t>
      </w:r>
    </w:p>
    <w:p w:rsidR="00F32476" w:rsidRPr="00601CB6" w:rsidRDefault="00F32476" w:rsidP="00601CB6">
      <w:pPr>
        <w:autoSpaceDE w:val="0"/>
        <w:autoSpaceDN w:val="0"/>
        <w:adjustRightInd w:val="0"/>
      </w:pPr>
      <w:r w:rsidRPr="00601CB6">
        <w:t>Les articles de petites tailles et/ou comportant plusieurs (petites) pièces devront être emballées sous</w:t>
      </w:r>
      <w:r w:rsidR="00601CB6">
        <w:t xml:space="preserve"> </w:t>
      </w:r>
      <w:r w:rsidRPr="00601CB6">
        <w:t>plastique et visible</w:t>
      </w:r>
      <w:r w:rsidR="00B520EA">
        <w:t xml:space="preserve">s </w:t>
      </w:r>
      <w:r w:rsidRPr="00601CB6">
        <w:t>: Lego, Playmobil….</w:t>
      </w:r>
    </w:p>
    <w:p w:rsidR="00F32476" w:rsidRPr="00601CB6" w:rsidRDefault="00F32476" w:rsidP="00601CB6">
      <w:pPr>
        <w:autoSpaceDE w:val="0"/>
        <w:autoSpaceDN w:val="0"/>
        <w:adjustRightInd w:val="0"/>
      </w:pPr>
      <w:r w:rsidRPr="00601CB6">
        <w:t>Les jeux incomplets doivent être indiqués comme tel.</w:t>
      </w:r>
    </w:p>
    <w:p w:rsidR="00F32476" w:rsidRPr="00601CB6" w:rsidRDefault="00F32476" w:rsidP="00601CB6">
      <w:pPr>
        <w:autoSpaceDE w:val="0"/>
        <w:autoSpaceDN w:val="0"/>
        <w:adjustRightInd w:val="0"/>
      </w:pPr>
      <w:r w:rsidRPr="00601CB6">
        <w:t>Seuls les articles en parfait état de fonctionnement et respectant les normes en vigueur seront acceptés.</w:t>
      </w:r>
    </w:p>
    <w:p w:rsidR="00F32476" w:rsidRPr="00601CB6" w:rsidRDefault="00F32476" w:rsidP="00601CB6">
      <w:pPr>
        <w:autoSpaceDE w:val="0"/>
        <w:autoSpaceDN w:val="0"/>
        <w:adjustRightInd w:val="0"/>
      </w:pPr>
      <w:r w:rsidRPr="00601CB6">
        <w:t>Les jouets à piles doivent être amenés avec des piles pour pouvoir être testés. Les jeux qui ne pourront</w:t>
      </w:r>
      <w:r w:rsidR="00601CB6">
        <w:t xml:space="preserve"> </w:t>
      </w:r>
      <w:r w:rsidRPr="00601CB6">
        <w:t>pas être vérifiés seront refusés.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5 :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>La vérification des articles s’effectue avec le déposant lors de l’enregistrement. Les responsables de la</w:t>
      </w:r>
      <w:r w:rsidR="00601CB6">
        <w:t xml:space="preserve"> </w:t>
      </w:r>
      <w:r w:rsidRPr="00F32476">
        <w:t>bourse se réservent le droit de refuser au moment du tri, ou de retirer de la vente, tous articles en mauvais</w:t>
      </w:r>
      <w:r w:rsidR="00601CB6">
        <w:t xml:space="preserve"> </w:t>
      </w:r>
      <w:r w:rsidRPr="00F32476">
        <w:t>état, incomplet ou un article qui leur semblerait incompatible avec la tenue de la bourse.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6 :</w:t>
      </w:r>
    </w:p>
    <w:p w:rsidR="00F32476" w:rsidRPr="00F32476" w:rsidRDefault="00261D09" w:rsidP="00F32476">
      <w:pPr>
        <w:autoSpaceDE w:val="0"/>
        <w:autoSpaceDN w:val="0"/>
        <w:adjustRightInd w:val="0"/>
      </w:pPr>
      <w:r>
        <w:t>L’</w:t>
      </w:r>
      <w:r>
        <w:t>APE LES CO’PIN D’ECOLE</w:t>
      </w:r>
      <w:r w:rsidRPr="00F32476">
        <w:t xml:space="preserve"> </w:t>
      </w:r>
      <w:r w:rsidR="00F32476" w:rsidRPr="00F32476">
        <w:t>décline toute responsabilité en cas de vol ou de détérioration des objets</w:t>
      </w:r>
      <w:r w:rsidR="00601CB6">
        <w:t xml:space="preserve"> </w:t>
      </w:r>
      <w:r w:rsidR="00F32476" w:rsidRPr="00F32476">
        <w:t>confiés durant toute la durée de l’opération.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7:</w:t>
      </w:r>
    </w:p>
    <w:p w:rsidR="00F32476" w:rsidRPr="00F32476" w:rsidRDefault="00261D09" w:rsidP="00F32476">
      <w:pPr>
        <w:autoSpaceDE w:val="0"/>
        <w:autoSpaceDN w:val="0"/>
        <w:adjustRightInd w:val="0"/>
      </w:pPr>
      <w:r>
        <w:t>L’</w:t>
      </w:r>
      <w:r>
        <w:t>APE LES CO’PIN D’ECOLE</w:t>
      </w:r>
      <w:r>
        <w:t xml:space="preserve"> </w:t>
      </w:r>
      <w:r w:rsidR="00601CB6">
        <w:t>ser</w:t>
      </w:r>
      <w:r w:rsidR="00C400A1">
        <w:t>a</w:t>
      </w:r>
      <w:r w:rsidR="00F32476" w:rsidRPr="00F32476">
        <w:t xml:space="preserve"> l'intermédiaire entre les acheteurs et les déposants.</w:t>
      </w:r>
    </w:p>
    <w:p w:rsidR="00F32476" w:rsidRDefault="00F32476" w:rsidP="00601CB6">
      <w:pPr>
        <w:autoSpaceDE w:val="0"/>
        <w:autoSpaceDN w:val="0"/>
        <w:adjustRightInd w:val="0"/>
      </w:pPr>
      <w:r w:rsidRPr="00F32476">
        <w:t xml:space="preserve">Il est perçu au profit de </w:t>
      </w:r>
      <w:r w:rsidR="00261D09">
        <w:t>L’</w:t>
      </w:r>
      <w:r w:rsidR="00261D09">
        <w:t>APE LES CO’PIN D’ECOLE</w:t>
      </w:r>
      <w:r w:rsidRPr="00F32476">
        <w:t>: 1 € d’enregistrement</w:t>
      </w:r>
      <w:r w:rsidR="0069239A">
        <w:t xml:space="preserve"> par liste de 1 à 10 jouets et 2</w:t>
      </w:r>
      <w:r w:rsidRPr="00F32476">
        <w:t>0 % du montant</w:t>
      </w:r>
      <w:r w:rsidR="00601CB6">
        <w:t xml:space="preserve"> </w:t>
      </w:r>
      <w:r w:rsidRPr="00F32476">
        <w:t xml:space="preserve">de la vente par déposant. </w:t>
      </w:r>
    </w:p>
    <w:p w:rsidR="0069239A" w:rsidRPr="00F32476" w:rsidRDefault="0069239A" w:rsidP="00601CB6">
      <w:pPr>
        <w:autoSpaceDE w:val="0"/>
        <w:autoSpaceDN w:val="0"/>
        <w:adjustRightInd w:val="0"/>
      </w:pP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8 :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>Lors du dépôt, le nombre d’articles est limité à 10 par liste, et le nombre de listes est illimité par famille.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lastRenderedPageBreak/>
        <w:t xml:space="preserve">Les </w:t>
      </w:r>
      <w:r w:rsidRPr="00F32476">
        <w:rPr>
          <w:b/>
          <w:bCs/>
        </w:rPr>
        <w:t xml:space="preserve">livres </w:t>
      </w:r>
      <w:r w:rsidRPr="00F32476">
        <w:t xml:space="preserve">sont limités à </w:t>
      </w:r>
      <w:r w:rsidRPr="00F32476">
        <w:rPr>
          <w:b/>
          <w:bCs/>
        </w:rPr>
        <w:t xml:space="preserve">20 </w:t>
      </w:r>
      <w:r w:rsidRPr="00F32476">
        <w:t xml:space="preserve">ou </w:t>
      </w:r>
      <w:r w:rsidRPr="00F32476">
        <w:rPr>
          <w:b/>
          <w:bCs/>
        </w:rPr>
        <w:t xml:space="preserve">20 lots </w:t>
      </w:r>
      <w:r w:rsidRPr="00F32476">
        <w:t>(d'autant de livres que vous souhaitez…) ficelés en croix, par foyer.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 xml:space="preserve">Les </w:t>
      </w:r>
      <w:r w:rsidRPr="00F32476">
        <w:rPr>
          <w:b/>
          <w:bCs/>
        </w:rPr>
        <w:t xml:space="preserve">peluches </w:t>
      </w:r>
      <w:r w:rsidRPr="00F32476">
        <w:t xml:space="preserve">sont limitées à </w:t>
      </w:r>
      <w:r w:rsidRPr="00F32476">
        <w:rPr>
          <w:b/>
          <w:bCs/>
        </w:rPr>
        <w:t xml:space="preserve">10 </w:t>
      </w:r>
      <w:r w:rsidRPr="00F32476">
        <w:t xml:space="preserve">ou </w:t>
      </w:r>
      <w:r w:rsidRPr="00F32476">
        <w:rPr>
          <w:b/>
          <w:bCs/>
        </w:rPr>
        <w:t xml:space="preserve">10 lots </w:t>
      </w:r>
      <w:r w:rsidRPr="00F32476">
        <w:t>constitués (attachées par une ficelle ou un élastique), par foyer.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9 :</w:t>
      </w:r>
    </w:p>
    <w:p w:rsidR="00601CB6" w:rsidRDefault="00F32476" w:rsidP="00F32476">
      <w:pPr>
        <w:autoSpaceDE w:val="0"/>
        <w:autoSpaceDN w:val="0"/>
        <w:adjustRightInd w:val="0"/>
      </w:pPr>
      <w:r w:rsidRPr="00F32476">
        <w:t>Les prix sont fixés lors de l’enregistrement avec le déposant. Ces prix ne sont pas modifiables, ni</w:t>
      </w:r>
      <w:r w:rsidR="00601CB6">
        <w:t xml:space="preserve"> </w:t>
      </w:r>
      <w:r w:rsidRPr="00F32476">
        <w:t xml:space="preserve">négociables pendant toute la durée de la bourse. 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>Prix des jouets : 0,5 euros, 1 euros, 1,5 euros, 2 euros</w:t>
      </w:r>
      <w:r w:rsidR="00601CB6">
        <w:t xml:space="preserve"> </w:t>
      </w:r>
      <w:r w:rsidRPr="00F32476">
        <w:t>puis uniquement des chiffres entiers</w:t>
      </w:r>
      <w:r w:rsidR="00261D09">
        <w:t xml:space="preserve"> </w:t>
      </w:r>
      <w:r w:rsidRPr="00F32476">
        <w:t>(exemple 4 euros, 5 euros) afin de faciliter l’organisation.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10 :</w:t>
      </w:r>
    </w:p>
    <w:p w:rsidR="00261D09" w:rsidRDefault="00F32476" w:rsidP="00F32476">
      <w:pPr>
        <w:autoSpaceDE w:val="0"/>
        <w:autoSpaceDN w:val="0"/>
        <w:adjustRightInd w:val="0"/>
      </w:pPr>
      <w:r w:rsidRPr="00F32476">
        <w:t>Le prix de vente de chaque jouet est fixé par le déposant et la liste de dépôt est complétée aussi par ce</w:t>
      </w:r>
      <w:r w:rsidR="00601CB6">
        <w:t xml:space="preserve"> </w:t>
      </w:r>
      <w:r w:rsidRPr="00F32476">
        <w:t xml:space="preserve">dernier. Cette liste sera restituée au déposant le </w:t>
      </w:r>
      <w:r w:rsidR="0069239A">
        <w:t>lundi</w:t>
      </w:r>
      <w:r w:rsidRPr="00F32476">
        <w:t xml:space="preserve"> lors de la restitution des jouets invendus. Sur ce</w:t>
      </w:r>
      <w:r w:rsidR="00601CB6">
        <w:t xml:space="preserve"> </w:t>
      </w:r>
      <w:r w:rsidRPr="00F32476">
        <w:t xml:space="preserve">document seront aussi indiqués les jouets vendus et permettra de calculer la quote-part pour </w:t>
      </w:r>
      <w:r w:rsidR="00261D09">
        <w:t>L’</w:t>
      </w:r>
      <w:r w:rsidR="00261D09">
        <w:t>APE LES CO’PIN D’ECOLE</w:t>
      </w:r>
      <w:r w:rsidR="00261D09">
        <w:t>.</w:t>
      </w:r>
    </w:p>
    <w:p w:rsidR="00F32476" w:rsidRPr="00F32476" w:rsidRDefault="00261D09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 xml:space="preserve"> </w:t>
      </w:r>
      <w:r w:rsidR="00F32476" w:rsidRPr="00F32476">
        <w:rPr>
          <w:b/>
          <w:bCs/>
        </w:rPr>
        <w:t>Article 12 :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 xml:space="preserve">Tout achat devra être payé comptant, en espèces ou par chèque à l’ordre de </w:t>
      </w:r>
      <w:r w:rsidR="00261D09">
        <w:t>« </w:t>
      </w:r>
      <w:r w:rsidR="00261D09">
        <w:t>APE LES CO’PIN D’ECOLE</w:t>
      </w:r>
      <w:r w:rsidR="00C400A1">
        <w:t> </w:t>
      </w:r>
      <w:r w:rsidRPr="00F32476">
        <w:t>».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1</w:t>
      </w:r>
      <w:r w:rsidR="00601CB6">
        <w:rPr>
          <w:b/>
          <w:bCs/>
        </w:rPr>
        <w:t>3</w:t>
      </w:r>
      <w:r w:rsidRPr="00F32476">
        <w:rPr>
          <w:b/>
          <w:bCs/>
        </w:rPr>
        <w:t xml:space="preserve"> :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 xml:space="preserve">Les recettes non récupérées le </w:t>
      </w:r>
      <w:r w:rsidR="00AA376F">
        <w:t>lundi</w:t>
      </w:r>
      <w:r w:rsidR="00601CB6">
        <w:t xml:space="preserve"> soir, ainsi que les jouets non réclamés seront conservées par les parents d’élèves </w:t>
      </w:r>
      <w:r w:rsidR="000A09F9">
        <w:t xml:space="preserve">pour la </w:t>
      </w:r>
      <w:r w:rsidRPr="00F32476">
        <w:t xml:space="preserve">foire à tout en faveur des </w:t>
      </w:r>
      <w:r w:rsidR="000A09F9">
        <w:t>sorties scolaires</w:t>
      </w:r>
      <w:r w:rsidRPr="00F32476">
        <w:t xml:space="preserve"> organisées par l’</w:t>
      </w:r>
      <w:r w:rsidR="000A09F9">
        <w:t>école</w:t>
      </w:r>
      <w:r w:rsidRPr="00F32476">
        <w:t>.</w:t>
      </w:r>
    </w:p>
    <w:p w:rsidR="00F32476" w:rsidRPr="00F32476" w:rsidRDefault="00F32476" w:rsidP="00F32476">
      <w:pPr>
        <w:autoSpaceDE w:val="0"/>
        <w:autoSpaceDN w:val="0"/>
        <w:adjustRightInd w:val="0"/>
        <w:rPr>
          <w:b/>
          <w:bCs/>
        </w:rPr>
      </w:pPr>
      <w:r w:rsidRPr="00F32476">
        <w:rPr>
          <w:b/>
          <w:bCs/>
        </w:rPr>
        <w:t>Article 1</w:t>
      </w:r>
      <w:r w:rsidR="000A09F9">
        <w:rPr>
          <w:b/>
          <w:bCs/>
        </w:rPr>
        <w:t>4</w:t>
      </w:r>
      <w:r w:rsidRPr="00F32476">
        <w:rPr>
          <w:b/>
          <w:bCs/>
        </w:rPr>
        <w:t xml:space="preserve"> :</w:t>
      </w:r>
    </w:p>
    <w:p w:rsidR="00F32476" w:rsidRPr="00F32476" w:rsidRDefault="00F32476" w:rsidP="00F32476">
      <w:pPr>
        <w:autoSpaceDE w:val="0"/>
        <w:autoSpaceDN w:val="0"/>
        <w:adjustRightInd w:val="0"/>
      </w:pPr>
      <w:r w:rsidRPr="00F32476">
        <w:t>Toute participation implique l’acceptation du règlement par le déposant et l’acheteur, règlement qui sera</w:t>
      </w:r>
      <w:r w:rsidR="000A09F9">
        <w:t xml:space="preserve"> </w:t>
      </w:r>
      <w:r w:rsidRPr="00F32476">
        <w:t>affiché sur le lieu de l’opération durant toute sa durée.</w:t>
      </w:r>
    </w:p>
    <w:p w:rsidR="00D009D5" w:rsidRDefault="00D009D5">
      <w:r>
        <w:br w:type="page"/>
      </w:r>
    </w:p>
    <w:p w:rsidR="00AF4357" w:rsidRDefault="00380A86" w:rsidP="00AF4357">
      <w:pPr>
        <w:pStyle w:val="En-tte"/>
        <w:tabs>
          <w:tab w:val="clear" w:pos="4536"/>
          <w:tab w:val="center" w:pos="7938"/>
        </w:tabs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-299720</wp:posOffset>
            </wp:positionV>
            <wp:extent cx="1000125" cy="10001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P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357">
        <w:rPr>
          <w:sz w:val="32"/>
          <w:szCs w:val="32"/>
        </w:rPr>
        <w:tab/>
      </w:r>
      <w:r w:rsidR="00AF4357">
        <w:t>Cotisation 1€ payée</w:t>
      </w:r>
      <w:r w:rsidR="00AF4357" w:rsidRPr="00D009D5">
        <w:rPr>
          <w:sz w:val="32"/>
          <w:szCs w:val="32"/>
        </w:rPr>
        <w:t xml:space="preserve"> □</w:t>
      </w:r>
    </w:p>
    <w:p w:rsidR="00D009D5" w:rsidRDefault="00D009D5" w:rsidP="00D009D5">
      <w:pPr>
        <w:autoSpaceDE w:val="0"/>
        <w:autoSpaceDN w:val="0"/>
        <w:adjustRightInd w:val="0"/>
        <w:ind w:firstLine="1701"/>
        <w:jc w:val="left"/>
        <w:rPr>
          <w:sz w:val="32"/>
          <w:szCs w:val="32"/>
        </w:rPr>
      </w:pPr>
      <w:r w:rsidRPr="00D009D5">
        <w:rPr>
          <w:sz w:val="32"/>
          <w:szCs w:val="32"/>
        </w:rPr>
        <w:t>Dépôt par la famille</w:t>
      </w:r>
      <w:r w:rsidR="007A7A27">
        <w:rPr>
          <w:sz w:val="32"/>
          <w:szCs w:val="32"/>
        </w:rPr>
        <w:t xml:space="preserve"> ………………………….</w:t>
      </w:r>
    </w:p>
    <w:p w:rsidR="00380A86" w:rsidRPr="00D009D5" w:rsidRDefault="00380A86" w:rsidP="00D009D5">
      <w:pPr>
        <w:autoSpaceDE w:val="0"/>
        <w:autoSpaceDN w:val="0"/>
        <w:adjustRightInd w:val="0"/>
        <w:ind w:firstLine="1701"/>
        <w:jc w:val="left"/>
        <w:rPr>
          <w:sz w:val="32"/>
          <w:szCs w:val="32"/>
        </w:rPr>
      </w:pPr>
    </w:p>
    <w:p w:rsidR="00D009D5" w:rsidRDefault="00D009D5" w:rsidP="00F32476">
      <w:pPr>
        <w:autoSpaceDE w:val="0"/>
        <w:autoSpaceDN w:val="0"/>
        <w:adjustRightInd w:val="0"/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526"/>
        <w:gridCol w:w="4819"/>
        <w:gridCol w:w="1843"/>
        <w:gridCol w:w="1276"/>
      </w:tblGrid>
      <w:tr w:rsidR="00380A86" w:rsidTr="00380A86">
        <w:tc>
          <w:tcPr>
            <w:tcW w:w="1526" w:type="dxa"/>
          </w:tcPr>
          <w:p w:rsidR="00380A86" w:rsidRPr="00D009D5" w:rsidRDefault="00380A86" w:rsidP="00F32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9D5">
              <w:rPr>
                <w:sz w:val="28"/>
                <w:szCs w:val="28"/>
              </w:rPr>
              <w:t>Code article</w:t>
            </w:r>
          </w:p>
        </w:tc>
        <w:tc>
          <w:tcPr>
            <w:tcW w:w="4819" w:type="dxa"/>
          </w:tcPr>
          <w:p w:rsidR="00380A86" w:rsidRPr="00D009D5" w:rsidRDefault="00380A86" w:rsidP="00F32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D009D5">
              <w:rPr>
                <w:sz w:val="28"/>
                <w:szCs w:val="28"/>
              </w:rPr>
              <w:t>Description article</w:t>
            </w:r>
          </w:p>
        </w:tc>
        <w:tc>
          <w:tcPr>
            <w:tcW w:w="1843" w:type="dxa"/>
          </w:tcPr>
          <w:p w:rsidR="00380A86" w:rsidRPr="00D009D5" w:rsidRDefault="00380A86" w:rsidP="00F32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9D5">
              <w:rPr>
                <w:sz w:val="28"/>
                <w:szCs w:val="28"/>
              </w:rPr>
              <w:t>Prix de vente</w:t>
            </w:r>
          </w:p>
        </w:tc>
        <w:tc>
          <w:tcPr>
            <w:tcW w:w="1276" w:type="dxa"/>
          </w:tcPr>
          <w:p w:rsidR="00380A86" w:rsidRPr="00D009D5" w:rsidRDefault="00380A86" w:rsidP="00F32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09D5">
              <w:rPr>
                <w:sz w:val="28"/>
                <w:szCs w:val="28"/>
              </w:rPr>
              <w:t>vendu</w:t>
            </w: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  <w:tr w:rsidR="00380A86" w:rsidTr="00380A86">
        <w:trPr>
          <w:trHeight w:val="1134"/>
        </w:trPr>
        <w:tc>
          <w:tcPr>
            <w:tcW w:w="152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4819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80A86" w:rsidRDefault="00380A86" w:rsidP="00F32476">
            <w:pPr>
              <w:autoSpaceDE w:val="0"/>
              <w:autoSpaceDN w:val="0"/>
              <w:adjustRightInd w:val="0"/>
            </w:pPr>
          </w:p>
        </w:tc>
      </w:tr>
    </w:tbl>
    <w:p w:rsidR="007A7A27" w:rsidRDefault="007A7A27" w:rsidP="007A7A27">
      <w:pPr>
        <w:autoSpaceDE w:val="0"/>
        <w:autoSpaceDN w:val="0"/>
        <w:adjustRightInd w:val="0"/>
        <w:ind w:left="4395"/>
      </w:pPr>
    </w:p>
    <w:p w:rsidR="00D009D5" w:rsidRDefault="007A7A27" w:rsidP="007A7A27">
      <w:pPr>
        <w:autoSpaceDE w:val="0"/>
        <w:autoSpaceDN w:val="0"/>
        <w:adjustRightInd w:val="0"/>
        <w:ind w:left="4395"/>
      </w:pPr>
      <w:r>
        <w:t xml:space="preserve">Total des articles vendus : </w:t>
      </w:r>
    </w:p>
    <w:p w:rsidR="007A7A27" w:rsidRDefault="0069239A" w:rsidP="007A7A27">
      <w:pPr>
        <w:autoSpaceDE w:val="0"/>
        <w:autoSpaceDN w:val="0"/>
        <w:adjustRightInd w:val="0"/>
        <w:ind w:left="4395"/>
      </w:pPr>
      <w:r>
        <w:t>Commission de vente 2</w:t>
      </w:r>
      <w:r w:rsidR="007A7A27">
        <w:t xml:space="preserve">0% : </w:t>
      </w:r>
    </w:p>
    <w:p w:rsidR="007A7A27" w:rsidRDefault="007A7A27" w:rsidP="007A7A27">
      <w:pPr>
        <w:autoSpaceDE w:val="0"/>
        <w:autoSpaceDN w:val="0"/>
        <w:adjustRightInd w:val="0"/>
        <w:ind w:left="4395"/>
      </w:pPr>
      <w:r>
        <w:t xml:space="preserve">Total vous revenant : </w:t>
      </w:r>
    </w:p>
    <w:sectPr w:rsidR="007A7A27" w:rsidSect="00380A86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CE4" w:rsidRDefault="00C54CE4" w:rsidP="00D009D5">
      <w:r>
        <w:separator/>
      </w:r>
    </w:p>
  </w:endnote>
  <w:endnote w:type="continuationSeparator" w:id="0">
    <w:p w:rsidR="00C54CE4" w:rsidRDefault="00C54CE4" w:rsidP="00D0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CE4" w:rsidRDefault="00C54CE4" w:rsidP="00D009D5">
      <w:r>
        <w:separator/>
      </w:r>
    </w:p>
  </w:footnote>
  <w:footnote w:type="continuationSeparator" w:id="0">
    <w:p w:rsidR="00C54CE4" w:rsidRDefault="00C54CE4" w:rsidP="00D00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9D5" w:rsidRDefault="00D009D5">
    <w:pPr>
      <w:pStyle w:val="En-tt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476"/>
    <w:rsid w:val="00092584"/>
    <w:rsid w:val="000A09F9"/>
    <w:rsid w:val="001B7EC9"/>
    <w:rsid w:val="001D1460"/>
    <w:rsid w:val="00261D09"/>
    <w:rsid w:val="00380A86"/>
    <w:rsid w:val="00414A6C"/>
    <w:rsid w:val="00434542"/>
    <w:rsid w:val="005554CB"/>
    <w:rsid w:val="005B7578"/>
    <w:rsid w:val="00601CB6"/>
    <w:rsid w:val="00601CBC"/>
    <w:rsid w:val="006237CA"/>
    <w:rsid w:val="00633CDA"/>
    <w:rsid w:val="00670E94"/>
    <w:rsid w:val="0069239A"/>
    <w:rsid w:val="007A7A27"/>
    <w:rsid w:val="007C7460"/>
    <w:rsid w:val="0089095C"/>
    <w:rsid w:val="00AA376F"/>
    <w:rsid w:val="00AE63AC"/>
    <w:rsid w:val="00AF4357"/>
    <w:rsid w:val="00B520EA"/>
    <w:rsid w:val="00B971C4"/>
    <w:rsid w:val="00BD463F"/>
    <w:rsid w:val="00C03C6F"/>
    <w:rsid w:val="00C33377"/>
    <w:rsid w:val="00C400A1"/>
    <w:rsid w:val="00C54CE4"/>
    <w:rsid w:val="00CB281D"/>
    <w:rsid w:val="00CF3F7F"/>
    <w:rsid w:val="00D009D5"/>
    <w:rsid w:val="00D33CFE"/>
    <w:rsid w:val="00D37DDC"/>
    <w:rsid w:val="00D5232D"/>
    <w:rsid w:val="00DC6F38"/>
    <w:rsid w:val="00DD3783"/>
    <w:rsid w:val="00EF6FE6"/>
    <w:rsid w:val="00F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D8076"/>
  <w15:docId w15:val="{5A0FAECD-156A-4F71-8FA6-37D5FD4D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6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01CB6"/>
    <w:pPr>
      <w:autoSpaceDE w:val="0"/>
      <w:autoSpaceDN w:val="0"/>
      <w:adjustRightInd w:val="0"/>
      <w:jc w:val="left"/>
    </w:pPr>
    <w:rPr>
      <w:rFonts w:ascii="Century Gothic" w:hAnsi="Century Gothic" w:cs="Century Gothic"/>
      <w:color w:val="000000"/>
    </w:rPr>
  </w:style>
  <w:style w:type="table" w:styleId="Grilledutableau">
    <w:name w:val="Table Grid"/>
    <w:basedOn w:val="TableauNormal"/>
    <w:uiPriority w:val="59"/>
    <w:rsid w:val="00D00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09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09D5"/>
  </w:style>
  <w:style w:type="paragraph" w:styleId="Pieddepage">
    <w:name w:val="footer"/>
    <w:basedOn w:val="Normal"/>
    <w:link w:val="PieddepageCar"/>
    <w:uiPriority w:val="99"/>
    <w:unhideWhenUsed/>
    <w:rsid w:val="00D009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0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ACF1-3EBA-4084-81BE-41F57C32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DERRIEN-SAULNIER</dc:creator>
  <cp:lastModifiedBy>Sabine DERRIEN-SAULNIER</cp:lastModifiedBy>
  <cp:revision>3</cp:revision>
  <cp:lastPrinted>2017-10-19T10:25:00Z</cp:lastPrinted>
  <dcterms:created xsi:type="dcterms:W3CDTF">2018-10-05T20:21:00Z</dcterms:created>
  <dcterms:modified xsi:type="dcterms:W3CDTF">2019-10-14T09:15:00Z</dcterms:modified>
</cp:coreProperties>
</file>