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A05B" w14:textId="06E19C13" w:rsidR="00071981" w:rsidRDefault="00071981" w:rsidP="00071981">
      <w:pPr>
        <w:jc w:val="center"/>
        <w:rPr>
          <w:b/>
          <w:sz w:val="28"/>
          <w:szCs w:val="28"/>
          <w:u w:val="single"/>
        </w:rPr>
      </w:pPr>
      <w:r>
        <w:rPr>
          <w:noProof/>
        </w:rPr>
        <mc:AlternateContent>
          <mc:Choice Requires="wps">
            <w:drawing>
              <wp:anchor distT="118745" distB="118745" distL="114300" distR="114300" simplePos="0" relativeHeight="251659264" behindDoc="1" locked="0" layoutInCell="0" allowOverlap="1" wp14:anchorId="3CA35B70" wp14:editId="06A17EA7">
                <wp:simplePos x="0" y="0"/>
                <wp:positionH relativeFrom="margin">
                  <wp:align>center</wp:align>
                </wp:positionH>
                <wp:positionV relativeFrom="margin">
                  <wp:align>top</wp:align>
                </wp:positionV>
                <wp:extent cx="4333875" cy="914400"/>
                <wp:effectExtent l="0" t="0" r="28575" b="1905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4400"/>
                        </a:xfrm>
                        <a:prstGeom prst="rect">
                          <a:avLst/>
                        </a:prstGeom>
                        <a:extLst>
                          <a:ext uri="{53640926-AAD7-44D8-BBD7-CCE9431645EC}">
                            <a14:shadowObscured xmlns:a14="http://schemas.microsoft.com/office/drawing/2010/main" val="1"/>
                          </a:ext>
                        </a:extLst>
                      </wps:spPr>
                      <wps:style>
                        <a:lnRef idx="1">
                          <a:schemeClr val="accent3"/>
                        </a:lnRef>
                        <a:fillRef idx="2">
                          <a:schemeClr val="accent3"/>
                        </a:fillRef>
                        <a:effectRef idx="1">
                          <a:schemeClr val="accent3"/>
                        </a:effectRef>
                        <a:fontRef idx="minor">
                          <a:schemeClr val="dk1"/>
                        </a:fontRef>
                      </wps:style>
                      <wps:txbx>
                        <w:txbxContent>
                          <w:p w14:paraId="5BAEF4E7" w14:textId="3A69648A" w:rsidR="005A26A4" w:rsidRPr="006B50B2" w:rsidRDefault="00F53523" w:rsidP="00D24B08">
                            <w:pPr>
                              <w:jc w:val="center"/>
                            </w:pPr>
                            <w:r>
                              <w:t xml:space="preserve">Bourse </w:t>
                            </w:r>
                            <w:proofErr w:type="spellStart"/>
                            <w:r>
                              <w:t>multicollections</w:t>
                            </w:r>
                            <w:proofErr w:type="spellEnd"/>
                          </w:p>
                          <w:p w14:paraId="4799A24A" w14:textId="77777777" w:rsidR="00071981" w:rsidRDefault="005A26A4" w:rsidP="00D24B08">
                            <w:pPr>
                              <w:jc w:val="center"/>
                            </w:pPr>
                            <w:r w:rsidRPr="006B50B2">
                              <w:t>CHASSENEUIL-sur-</w:t>
                            </w:r>
                            <w:r w:rsidR="006B50B2" w:rsidRPr="006B50B2">
                              <w:t>BONNIEURE dimanche</w:t>
                            </w:r>
                            <w:r w:rsidRPr="006B50B2">
                              <w:t xml:space="preserve"> 17 février 2019</w:t>
                            </w:r>
                          </w:p>
                          <w:p w14:paraId="54B77BD1" w14:textId="6F177AB6" w:rsidR="005A26A4" w:rsidRPr="006B50B2" w:rsidRDefault="00071981" w:rsidP="00D24B08">
                            <w:pPr>
                              <w:jc w:val="center"/>
                            </w:pPr>
                            <w:r>
                              <w:t>Salle des fêtes 16260 Chasseneuil/B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A35B70" id="_x0000_t202" coordsize="21600,21600" o:spt="202" path="m,l,21600r21600,l21600,xe">
                <v:stroke joinstyle="miter"/>
                <v:path gradientshapeok="t" o:connecttype="rect"/>
              </v:shapetype>
              <v:shape id="Zone de texte 2" o:spid="_x0000_s1026" type="#_x0000_t202" style="position:absolute;left:0;text-align:left;margin-left:0;margin-top:0;width:341.25pt;height:1in;z-index:-251657216;visibility:visible;mso-wrap-style:square;mso-width-percent:0;mso-height-percent:0;mso-wrap-distance-left:9pt;mso-wrap-distance-top:9.35pt;mso-wrap-distance-right:9pt;mso-wrap-distance-bottom:9.35pt;mso-position-horizontal:center;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" o:allowincell="f" fillcolor="#c3c3c3 [2166]" strokecolor="#a5a5a5 [3206]" strokeweight=".5pt">
                <v:fill color2="#b6b6b6 [2614]" rotate="t" colors="0 #d2d2d2;.5 #c8c8c8;1 silver" focus="100%" type="gradient">
                  <o:fill v:ext="view" type="gradientUnscaled"/>
                </v:fill>
                <v:textbox>
                  <w:txbxContent>
                    <w:p w14:paraId="5BAEF4E7" w14:textId="3A69648A" w:rsidR="005A26A4" w:rsidRPr="006B50B2" w:rsidRDefault="00F53523" w:rsidP="00D24B08">
                      <w:pPr>
                        <w:jc w:val="center"/>
                      </w:pPr>
                      <w:r>
                        <w:t xml:space="preserve">Bourse </w:t>
                      </w:r>
                      <w:proofErr w:type="spellStart"/>
                      <w:r>
                        <w:t>multicollections</w:t>
                      </w:r>
                      <w:proofErr w:type="spellEnd"/>
                    </w:p>
                    <w:p w14:paraId="4799A24A" w14:textId="77777777" w:rsidR="00071981" w:rsidRDefault="005A26A4" w:rsidP="00D24B08">
                      <w:pPr>
                        <w:jc w:val="center"/>
                      </w:pPr>
                      <w:r w:rsidRPr="006B50B2">
                        <w:t>CHASSENEUIL-sur-</w:t>
                      </w:r>
                      <w:r w:rsidR="006B50B2" w:rsidRPr="006B50B2">
                        <w:t>BONNIEURE dimanche</w:t>
                      </w:r>
                      <w:r w:rsidRPr="006B50B2">
                        <w:t xml:space="preserve"> 17 février 2019</w:t>
                      </w:r>
                    </w:p>
                    <w:p w14:paraId="54B77BD1" w14:textId="6F177AB6" w:rsidR="005A26A4" w:rsidRPr="006B50B2" w:rsidRDefault="00071981" w:rsidP="00D24B08">
                      <w:pPr>
                        <w:jc w:val="center"/>
                      </w:pPr>
                      <w:r>
                        <w:t>Salle des fêtes 16260 Chasseneuil/B</w:t>
                      </w:r>
                    </w:p>
                  </w:txbxContent>
                </v:textbox>
                <w10:wrap type="square" anchorx="margin" anchory="margin"/>
              </v:shape>
            </w:pict>
          </mc:Fallback>
        </mc:AlternateContent>
      </w:r>
      <w:r>
        <w:rPr>
          <w:b/>
          <w:noProof/>
          <w:sz w:val="16"/>
          <w:szCs w:val="16"/>
          <w:u w:val="single"/>
        </w:rPr>
        <w:drawing>
          <wp:inline distT="0" distB="0" distL="0" distR="0" wp14:anchorId="2282052C" wp14:editId="3C0ADE24">
            <wp:extent cx="781050" cy="8819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BRES PAS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597" cy="918688"/>
                    </a:xfrm>
                    <a:prstGeom prst="rect">
                      <a:avLst/>
                    </a:prstGeom>
                  </pic:spPr>
                </pic:pic>
              </a:graphicData>
            </a:graphic>
          </wp:inline>
        </w:drawing>
      </w:r>
      <w:bookmarkStart w:id="0" w:name="_GoBack"/>
      <w:bookmarkEnd w:id="0"/>
    </w:p>
    <w:p w14:paraId="182D426C" w14:textId="77777777" w:rsidR="00071981" w:rsidRPr="00071981" w:rsidRDefault="00071981" w:rsidP="00071981">
      <w:pPr>
        <w:jc w:val="center"/>
        <w:rPr>
          <w:b/>
          <w:sz w:val="28"/>
          <w:szCs w:val="28"/>
          <w:u w:val="single"/>
        </w:rPr>
      </w:pPr>
    </w:p>
    <w:p w14:paraId="148C2463" w14:textId="4D156845" w:rsidR="00F607B1" w:rsidRDefault="00071981" w:rsidP="00071981">
      <w:pPr>
        <w:jc w:val="center"/>
        <w:rPr>
          <w:rFonts w:ascii="Bookman Old Style" w:hAnsi="Bookman Old Style"/>
          <w:b/>
          <w:sz w:val="24"/>
          <w:szCs w:val="24"/>
        </w:rPr>
      </w:pPr>
      <w:r w:rsidRPr="00071981">
        <w:rPr>
          <w:rFonts w:ascii="Bookman Old Style" w:hAnsi="Bookman Old Style"/>
          <w:b/>
          <w:sz w:val="24"/>
          <w:szCs w:val="24"/>
        </w:rPr>
        <w:t>TIMBRES PASSION CHASSENEUILLAIS</w:t>
      </w:r>
    </w:p>
    <w:p w14:paraId="494DEE6A" w14:textId="3F885BC6" w:rsidR="00071981" w:rsidRDefault="00071981" w:rsidP="00071981">
      <w:pPr>
        <w:jc w:val="center"/>
        <w:rPr>
          <w:rFonts w:ascii="Bookman Old Style" w:hAnsi="Bookman Old Style"/>
          <w:b/>
          <w:sz w:val="24"/>
          <w:szCs w:val="24"/>
          <w:u w:val="single"/>
        </w:rPr>
      </w:pPr>
      <w:r>
        <w:rPr>
          <w:rFonts w:ascii="Bookman Old Style" w:hAnsi="Bookman Old Style"/>
          <w:b/>
          <w:sz w:val="24"/>
          <w:szCs w:val="24"/>
          <w:u w:val="single"/>
        </w:rPr>
        <w:t>Règlement</w:t>
      </w:r>
    </w:p>
    <w:p w14:paraId="406FE3D5" w14:textId="2B570970" w:rsidR="00071981" w:rsidRPr="006B6240" w:rsidRDefault="00071981" w:rsidP="006B6240">
      <w:pPr>
        <w:spacing w:line="240" w:lineRule="auto"/>
        <w:rPr>
          <w:rFonts w:ascii="Bookman Old Style" w:hAnsi="Bookman Old Style"/>
          <w:b/>
          <w:sz w:val="20"/>
          <w:szCs w:val="20"/>
        </w:rPr>
      </w:pPr>
      <w:r w:rsidRPr="006B6240">
        <w:rPr>
          <w:rFonts w:ascii="Bookman Old Style" w:hAnsi="Bookman Old Style"/>
          <w:b/>
          <w:sz w:val="20"/>
          <w:szCs w:val="20"/>
        </w:rPr>
        <w:t>Article 1</w:t>
      </w:r>
      <w:r w:rsidRPr="006B6240">
        <w:rPr>
          <w:rFonts w:ascii="Bookman Old Style" w:hAnsi="Bookman Old Style"/>
          <w:b/>
          <w:sz w:val="20"/>
          <w:szCs w:val="20"/>
          <w:vertAlign w:val="superscript"/>
        </w:rPr>
        <w:t>er</w:t>
      </w:r>
      <w:r w:rsidRPr="006B6240">
        <w:rPr>
          <w:rFonts w:ascii="Bookman Old Style" w:hAnsi="Bookman Old Style"/>
          <w:b/>
          <w:sz w:val="20"/>
          <w:szCs w:val="20"/>
        </w:rPr>
        <w:t xml:space="preserve"> </w:t>
      </w:r>
    </w:p>
    <w:p w14:paraId="4511D6D1" w14:textId="665F2E26" w:rsidR="00071981" w:rsidRPr="006B6240" w:rsidRDefault="00071981" w:rsidP="006B6240">
      <w:pPr>
        <w:spacing w:line="240" w:lineRule="auto"/>
        <w:rPr>
          <w:rFonts w:ascii="Bookman Old Style" w:hAnsi="Bookman Old Style"/>
          <w:sz w:val="20"/>
          <w:szCs w:val="20"/>
        </w:rPr>
      </w:pPr>
      <w:r w:rsidRPr="006B6240">
        <w:rPr>
          <w:rFonts w:ascii="Bookman Old Style" w:hAnsi="Bookman Old Style"/>
          <w:sz w:val="20"/>
          <w:szCs w:val="20"/>
        </w:rPr>
        <w:t xml:space="preserve">     La bourse Multicollections est organisée par Timbres Passion Chasseneuillais. La manifestation se déroulera dans la salle des fêtes, 1 rue de la Bonnieure 16260 Chasseneuil-sur-Bonnieure le dimanche 17 février 2019 de 9h à 18h. La possibilité de mise en place se fera à partir de 7h. </w:t>
      </w:r>
      <w:r w:rsidR="00E40465" w:rsidRPr="006B6240">
        <w:rPr>
          <w:rFonts w:ascii="Bookman Old Style" w:hAnsi="Bookman Old Style"/>
          <w:sz w:val="20"/>
          <w:szCs w:val="20"/>
        </w:rPr>
        <w:t>Les emplacements seront disposés par l’organisateur.</w:t>
      </w:r>
    </w:p>
    <w:p w14:paraId="6C7A66A8" w14:textId="7925978B" w:rsidR="00E40465" w:rsidRPr="006B6240" w:rsidRDefault="00E40465" w:rsidP="006B6240">
      <w:pPr>
        <w:spacing w:line="240" w:lineRule="auto"/>
        <w:rPr>
          <w:rFonts w:ascii="Bookman Old Style" w:hAnsi="Bookman Old Style"/>
          <w:b/>
          <w:sz w:val="20"/>
          <w:szCs w:val="20"/>
        </w:rPr>
      </w:pPr>
      <w:r w:rsidRPr="006B6240">
        <w:rPr>
          <w:rFonts w:ascii="Bookman Old Style" w:hAnsi="Bookman Old Style"/>
          <w:b/>
          <w:sz w:val="20"/>
          <w:szCs w:val="20"/>
        </w:rPr>
        <w:t>Article 2</w:t>
      </w:r>
    </w:p>
    <w:p w14:paraId="3233A9EE" w14:textId="2FC6C069" w:rsidR="00E40465" w:rsidRPr="006B6240" w:rsidRDefault="00E40465" w:rsidP="006B6240">
      <w:pPr>
        <w:spacing w:line="240" w:lineRule="auto"/>
        <w:rPr>
          <w:rFonts w:ascii="Bookman Old Style" w:hAnsi="Bookman Old Style"/>
          <w:sz w:val="20"/>
          <w:szCs w:val="20"/>
        </w:rPr>
      </w:pPr>
      <w:r w:rsidRPr="006B6240">
        <w:rPr>
          <w:rFonts w:ascii="Bookman Old Style" w:hAnsi="Bookman Old Style"/>
          <w:sz w:val="20"/>
          <w:szCs w:val="20"/>
        </w:rPr>
        <w:t xml:space="preserve">     Les collections faisant l’objet de cette bourse seront : Cartophilie</w:t>
      </w:r>
      <w:r w:rsidR="00F53523">
        <w:rPr>
          <w:rFonts w:ascii="Bookman Old Style" w:hAnsi="Bookman Old Style"/>
          <w:sz w:val="20"/>
          <w:szCs w:val="20"/>
        </w:rPr>
        <w:t>,</w:t>
      </w:r>
      <w:r w:rsidRPr="006B6240">
        <w:rPr>
          <w:rFonts w:ascii="Bookman Old Style" w:hAnsi="Bookman Old Style"/>
          <w:sz w:val="20"/>
          <w:szCs w:val="20"/>
        </w:rPr>
        <w:t xml:space="preserve"> </w:t>
      </w:r>
      <w:r w:rsidR="00F53523">
        <w:rPr>
          <w:rFonts w:ascii="Bookman Old Style" w:hAnsi="Bookman Old Style"/>
          <w:sz w:val="20"/>
          <w:szCs w:val="20"/>
        </w:rPr>
        <w:t>p</w:t>
      </w:r>
      <w:r w:rsidRPr="006B6240">
        <w:rPr>
          <w:rFonts w:ascii="Bookman Old Style" w:hAnsi="Bookman Old Style"/>
          <w:sz w:val="20"/>
          <w:szCs w:val="20"/>
        </w:rPr>
        <w:t>hilatélie</w:t>
      </w:r>
      <w:r w:rsidR="00F53523">
        <w:rPr>
          <w:rFonts w:ascii="Bookman Old Style" w:hAnsi="Bookman Old Style"/>
          <w:sz w:val="20"/>
          <w:szCs w:val="20"/>
        </w:rPr>
        <w:t>, n</w:t>
      </w:r>
      <w:r w:rsidRPr="006B6240">
        <w:rPr>
          <w:rFonts w:ascii="Bookman Old Style" w:hAnsi="Bookman Old Style"/>
          <w:sz w:val="20"/>
          <w:szCs w:val="20"/>
        </w:rPr>
        <w:t>umismatique</w:t>
      </w:r>
      <w:r w:rsidR="00F53523">
        <w:rPr>
          <w:rFonts w:ascii="Bookman Old Style" w:hAnsi="Bookman Old Style"/>
          <w:sz w:val="20"/>
          <w:szCs w:val="20"/>
        </w:rPr>
        <w:t>, v</w:t>
      </w:r>
      <w:r w:rsidRPr="006B6240">
        <w:rPr>
          <w:rFonts w:ascii="Bookman Old Style" w:hAnsi="Bookman Old Style"/>
          <w:sz w:val="20"/>
          <w:szCs w:val="20"/>
        </w:rPr>
        <w:t>ieux papiers</w:t>
      </w:r>
      <w:r w:rsidR="00F53523">
        <w:rPr>
          <w:rFonts w:ascii="Bookman Old Style" w:hAnsi="Bookman Old Style"/>
          <w:sz w:val="20"/>
          <w:szCs w:val="20"/>
        </w:rPr>
        <w:t>, b</w:t>
      </w:r>
      <w:r w:rsidRPr="006B6240">
        <w:rPr>
          <w:rFonts w:ascii="Bookman Old Style" w:hAnsi="Bookman Old Style"/>
          <w:sz w:val="20"/>
          <w:szCs w:val="20"/>
        </w:rPr>
        <w:t>ibliophilie</w:t>
      </w:r>
      <w:r w:rsidR="00F53523">
        <w:rPr>
          <w:rFonts w:ascii="Bookman Old Style" w:hAnsi="Bookman Old Style"/>
          <w:sz w:val="20"/>
          <w:szCs w:val="20"/>
        </w:rPr>
        <w:t>, b</w:t>
      </w:r>
      <w:r w:rsidRPr="006B6240">
        <w:rPr>
          <w:rFonts w:ascii="Bookman Old Style" w:hAnsi="Bookman Old Style"/>
          <w:sz w:val="20"/>
          <w:szCs w:val="20"/>
        </w:rPr>
        <w:t>ouquinerie</w:t>
      </w:r>
      <w:r w:rsidR="00F53523">
        <w:rPr>
          <w:rFonts w:ascii="Bookman Old Style" w:hAnsi="Bookman Old Style"/>
          <w:sz w:val="20"/>
          <w:szCs w:val="20"/>
        </w:rPr>
        <w:t>, a</w:t>
      </w:r>
      <w:r w:rsidRPr="006B6240">
        <w:rPr>
          <w:rFonts w:ascii="Bookman Old Style" w:hAnsi="Bookman Old Style"/>
          <w:sz w:val="20"/>
          <w:szCs w:val="20"/>
        </w:rPr>
        <w:t>ffiches</w:t>
      </w:r>
      <w:r w:rsidR="00F53523">
        <w:rPr>
          <w:rFonts w:ascii="Bookman Old Style" w:hAnsi="Bookman Old Style"/>
          <w:sz w:val="20"/>
          <w:szCs w:val="20"/>
        </w:rPr>
        <w:t>, d</w:t>
      </w:r>
      <w:r w:rsidRPr="006B6240">
        <w:rPr>
          <w:rFonts w:ascii="Bookman Old Style" w:hAnsi="Bookman Old Style"/>
          <w:sz w:val="20"/>
          <w:szCs w:val="20"/>
        </w:rPr>
        <w:t>écorations</w:t>
      </w:r>
      <w:r w:rsidR="00F53523">
        <w:rPr>
          <w:rFonts w:ascii="Bookman Old Style" w:hAnsi="Bookman Old Style"/>
          <w:sz w:val="20"/>
          <w:szCs w:val="20"/>
        </w:rPr>
        <w:t>, m</w:t>
      </w:r>
      <w:r w:rsidR="00495661" w:rsidRPr="006B6240">
        <w:rPr>
          <w:rFonts w:ascii="Bookman Old Style" w:hAnsi="Bookman Old Style"/>
          <w:sz w:val="20"/>
          <w:szCs w:val="20"/>
        </w:rPr>
        <w:t>uselets</w:t>
      </w:r>
      <w:r w:rsidR="00F53523">
        <w:rPr>
          <w:rFonts w:ascii="Bookman Old Style" w:hAnsi="Bookman Old Style"/>
          <w:sz w:val="20"/>
          <w:szCs w:val="20"/>
        </w:rPr>
        <w:t>, p</w:t>
      </w:r>
      <w:r w:rsidR="00495661" w:rsidRPr="006B6240">
        <w:rPr>
          <w:rFonts w:ascii="Bookman Old Style" w:hAnsi="Bookman Old Style"/>
          <w:sz w:val="20"/>
          <w:szCs w:val="20"/>
        </w:rPr>
        <w:t>in’s</w:t>
      </w:r>
      <w:r w:rsidR="00F53523">
        <w:rPr>
          <w:rFonts w:ascii="Bookman Old Style" w:hAnsi="Bookman Old Style"/>
          <w:sz w:val="20"/>
          <w:szCs w:val="20"/>
        </w:rPr>
        <w:t>, f</w:t>
      </w:r>
      <w:r w:rsidR="00495661" w:rsidRPr="006B6240">
        <w:rPr>
          <w:rFonts w:ascii="Bookman Old Style" w:hAnsi="Bookman Old Style"/>
          <w:sz w:val="20"/>
          <w:szCs w:val="20"/>
        </w:rPr>
        <w:t>èves et toutes autres formes de collections, sauf armes, ayant été soumises à l’approbation des organisateurs.</w:t>
      </w:r>
    </w:p>
    <w:p w14:paraId="26536DD9" w14:textId="3E8BC560" w:rsidR="00495661" w:rsidRPr="006B6240" w:rsidRDefault="00495661" w:rsidP="006B6240">
      <w:pPr>
        <w:spacing w:line="240" w:lineRule="auto"/>
        <w:rPr>
          <w:rFonts w:ascii="Bookman Old Style" w:hAnsi="Bookman Old Style"/>
          <w:b/>
          <w:sz w:val="20"/>
          <w:szCs w:val="20"/>
        </w:rPr>
      </w:pPr>
      <w:r w:rsidRPr="006B6240">
        <w:rPr>
          <w:rFonts w:ascii="Bookman Old Style" w:hAnsi="Bookman Old Style"/>
          <w:b/>
          <w:sz w:val="20"/>
          <w:szCs w:val="20"/>
        </w:rPr>
        <w:t>Article 3</w:t>
      </w:r>
    </w:p>
    <w:p w14:paraId="131FC879" w14:textId="3FAB1FEC" w:rsidR="00495661" w:rsidRPr="006B6240" w:rsidRDefault="00495661" w:rsidP="006B6240">
      <w:pPr>
        <w:spacing w:line="240" w:lineRule="auto"/>
        <w:rPr>
          <w:rFonts w:ascii="Bookman Old Style" w:hAnsi="Bookman Old Style"/>
          <w:sz w:val="20"/>
          <w:szCs w:val="20"/>
        </w:rPr>
      </w:pPr>
      <w:r w:rsidRPr="006B6240">
        <w:rPr>
          <w:rFonts w:ascii="Bookman Old Style" w:hAnsi="Bookman Old Style"/>
          <w:sz w:val="20"/>
          <w:szCs w:val="20"/>
        </w:rPr>
        <w:t xml:space="preserve">     Seront réputés exposants, les personnes morales (associations) et physiques (marchands ou collectionneurs) dont le bulletin d’inscription sera régulièrement parvenu au secrétariat, accompagné du paiement de droit correspondant et du règlement approuvé et signé.</w:t>
      </w:r>
    </w:p>
    <w:p w14:paraId="22F48763" w14:textId="4ED78E2E" w:rsidR="00495661" w:rsidRPr="006B6240" w:rsidRDefault="00495661" w:rsidP="006B6240">
      <w:pPr>
        <w:spacing w:line="240" w:lineRule="auto"/>
        <w:rPr>
          <w:rFonts w:ascii="Bookman Old Style" w:hAnsi="Bookman Old Style"/>
          <w:b/>
          <w:sz w:val="20"/>
          <w:szCs w:val="20"/>
        </w:rPr>
      </w:pPr>
      <w:r w:rsidRPr="006B6240">
        <w:rPr>
          <w:rFonts w:ascii="Bookman Old Style" w:hAnsi="Bookman Old Style"/>
          <w:b/>
          <w:sz w:val="20"/>
          <w:szCs w:val="20"/>
        </w:rPr>
        <w:t>Article 4</w:t>
      </w:r>
    </w:p>
    <w:p w14:paraId="3E7654DA" w14:textId="745DBC42" w:rsidR="00495661" w:rsidRPr="006B6240" w:rsidRDefault="00495661" w:rsidP="006B6240">
      <w:pPr>
        <w:spacing w:line="240" w:lineRule="auto"/>
        <w:rPr>
          <w:rFonts w:ascii="Bookman Old Style" w:hAnsi="Bookman Old Style"/>
          <w:sz w:val="20"/>
          <w:szCs w:val="20"/>
        </w:rPr>
      </w:pPr>
      <w:r w:rsidRPr="006B6240">
        <w:rPr>
          <w:rFonts w:ascii="Bookman Old Style" w:hAnsi="Bookman Old Style"/>
          <w:sz w:val="20"/>
          <w:szCs w:val="20"/>
        </w:rPr>
        <w:t xml:space="preserve">     Les organisateurs se réservent le droit de refuser toute candidature ou d’exclure tout exposant qui, à leur avis, troublerait le bon ordre ou la moralité de la manifestation, ou qui ne respecterait pas le cadre mis à leur disposition ainsi que le matériel fourni (ceci sans qu’il puisse leur être réclamé d’indemnisation).</w:t>
      </w:r>
    </w:p>
    <w:p w14:paraId="34749C3F" w14:textId="44004236" w:rsidR="00495661" w:rsidRPr="006B6240" w:rsidRDefault="00495661" w:rsidP="006B6240">
      <w:pPr>
        <w:spacing w:line="240" w:lineRule="auto"/>
        <w:rPr>
          <w:rFonts w:ascii="Bookman Old Style" w:hAnsi="Bookman Old Style"/>
          <w:b/>
          <w:sz w:val="20"/>
          <w:szCs w:val="20"/>
        </w:rPr>
      </w:pPr>
      <w:r w:rsidRPr="006B6240">
        <w:rPr>
          <w:rFonts w:ascii="Bookman Old Style" w:hAnsi="Bookman Old Style"/>
          <w:b/>
          <w:sz w:val="20"/>
          <w:szCs w:val="20"/>
        </w:rPr>
        <w:t>Article 5</w:t>
      </w:r>
    </w:p>
    <w:p w14:paraId="58F8DEA4" w14:textId="5959CA58" w:rsidR="00495661" w:rsidRPr="006B6240" w:rsidRDefault="00495661" w:rsidP="006B6240">
      <w:pPr>
        <w:spacing w:line="240" w:lineRule="auto"/>
        <w:rPr>
          <w:rFonts w:ascii="Bookman Old Style" w:hAnsi="Bookman Old Style"/>
          <w:sz w:val="20"/>
          <w:szCs w:val="20"/>
        </w:rPr>
      </w:pPr>
      <w:r w:rsidRPr="006B6240">
        <w:rPr>
          <w:rFonts w:ascii="Bookman Old Style" w:hAnsi="Bookman Old Style"/>
          <w:sz w:val="20"/>
          <w:szCs w:val="20"/>
        </w:rPr>
        <w:t xml:space="preserve">     En dehors des emplacements réservés, aucune table personnelle ne pourra être ajoutée à celles en place. Les transactions seront interdites en dehors des emplacements réservés.</w:t>
      </w:r>
    </w:p>
    <w:p w14:paraId="64B481D6" w14:textId="45D6D27B" w:rsidR="006F1AA8" w:rsidRPr="006B6240" w:rsidRDefault="006F1AA8" w:rsidP="006B6240">
      <w:pPr>
        <w:spacing w:line="240" w:lineRule="auto"/>
        <w:rPr>
          <w:rFonts w:ascii="Bookman Old Style" w:hAnsi="Bookman Old Style"/>
          <w:b/>
          <w:sz w:val="20"/>
          <w:szCs w:val="20"/>
        </w:rPr>
      </w:pPr>
      <w:r w:rsidRPr="006B6240">
        <w:rPr>
          <w:rFonts w:ascii="Bookman Old Style" w:hAnsi="Bookman Old Style"/>
          <w:b/>
          <w:sz w:val="20"/>
          <w:szCs w:val="20"/>
        </w:rPr>
        <w:t>Article 6</w:t>
      </w:r>
    </w:p>
    <w:p w14:paraId="5D559272" w14:textId="2AF8F7EE" w:rsidR="006F1AA8" w:rsidRPr="006B6240" w:rsidRDefault="006F1AA8" w:rsidP="006B6240">
      <w:pPr>
        <w:spacing w:line="240" w:lineRule="auto"/>
        <w:rPr>
          <w:rFonts w:ascii="Bookman Old Style" w:hAnsi="Bookman Old Style"/>
          <w:sz w:val="20"/>
          <w:szCs w:val="20"/>
        </w:rPr>
      </w:pPr>
      <w:r w:rsidRPr="006B6240">
        <w:rPr>
          <w:rFonts w:ascii="Bookman Old Style" w:hAnsi="Bookman Old Style"/>
          <w:sz w:val="20"/>
          <w:szCs w:val="20"/>
        </w:rPr>
        <w:t xml:space="preserve">     Les objets et collections exposés demeurent sous la responsabilité de leurs propriétaires, à leurs risques et périls. Les organisateurs ne pourraient être tenus pour responsables, notamment en cas de perte, casse, vol ou autres détériorations, y compris par cas fortuit ou de force majeure. Les exposants feront leur affaire des assurances à souscrire pour leur couverture et veilleront en outre à être parfaitement en règle avec les administrations fiscales et douanières.</w:t>
      </w:r>
    </w:p>
    <w:p w14:paraId="2C4C2993" w14:textId="5F25E46D" w:rsidR="006F1AA8" w:rsidRPr="006B6240" w:rsidRDefault="006F1AA8" w:rsidP="006B6240">
      <w:pPr>
        <w:spacing w:line="240" w:lineRule="auto"/>
        <w:rPr>
          <w:rFonts w:ascii="Bookman Old Style" w:hAnsi="Bookman Old Style"/>
          <w:b/>
          <w:sz w:val="20"/>
          <w:szCs w:val="20"/>
        </w:rPr>
      </w:pPr>
      <w:r w:rsidRPr="006B6240">
        <w:rPr>
          <w:rFonts w:ascii="Bookman Old Style" w:hAnsi="Bookman Old Style"/>
          <w:b/>
          <w:sz w:val="20"/>
          <w:szCs w:val="20"/>
        </w:rPr>
        <w:t>Article 7</w:t>
      </w:r>
    </w:p>
    <w:p w14:paraId="4BB91785" w14:textId="37071BE7" w:rsidR="006F1AA8" w:rsidRPr="006B6240" w:rsidRDefault="006F1AA8" w:rsidP="006B6240">
      <w:pPr>
        <w:spacing w:line="240" w:lineRule="auto"/>
        <w:rPr>
          <w:rFonts w:ascii="Bookman Old Style" w:hAnsi="Bookman Old Style"/>
          <w:sz w:val="20"/>
          <w:szCs w:val="20"/>
        </w:rPr>
      </w:pPr>
      <w:r w:rsidRPr="006B6240">
        <w:rPr>
          <w:rFonts w:ascii="Bookman Old Style" w:hAnsi="Bookman Old Style"/>
          <w:sz w:val="20"/>
          <w:szCs w:val="20"/>
        </w:rPr>
        <w:t xml:space="preserve">     En cas de délit de l’exposant, l’acompte versé restera acquis à l’association organisatrice de cette bourse. En cas de litige, si un arrangement amiable ne pouvait intervenir, seul le tribunal d’Angoulême serait compétent.</w:t>
      </w:r>
    </w:p>
    <w:p w14:paraId="26C63E24" w14:textId="1E4AC106" w:rsidR="006F1AA8" w:rsidRPr="006B6240" w:rsidRDefault="006F1AA8" w:rsidP="006B6240">
      <w:pPr>
        <w:spacing w:line="240" w:lineRule="auto"/>
        <w:rPr>
          <w:rFonts w:ascii="Bookman Old Style" w:hAnsi="Bookman Old Style"/>
          <w:sz w:val="20"/>
          <w:szCs w:val="20"/>
        </w:rPr>
      </w:pPr>
    </w:p>
    <w:p w14:paraId="34DBC3C5" w14:textId="18D673F6" w:rsidR="006F1AA8" w:rsidRPr="006B6240" w:rsidRDefault="006F1AA8" w:rsidP="006F1AA8">
      <w:pPr>
        <w:jc w:val="center"/>
        <w:rPr>
          <w:rFonts w:ascii="Bookman Old Style" w:hAnsi="Bookman Old Style"/>
          <w:sz w:val="20"/>
          <w:szCs w:val="20"/>
        </w:rPr>
      </w:pPr>
      <w:r w:rsidRPr="006B6240">
        <w:rPr>
          <w:rFonts w:ascii="Bookman Old Style" w:hAnsi="Bookman Old Style"/>
          <w:sz w:val="20"/>
          <w:szCs w:val="20"/>
        </w:rPr>
        <w:t>Fait à Chasseneuil/B le</w:t>
      </w:r>
    </w:p>
    <w:p w14:paraId="67E20211" w14:textId="77777777" w:rsidR="006B6240" w:rsidRDefault="006B6240" w:rsidP="006F1AA8">
      <w:pPr>
        <w:rPr>
          <w:rFonts w:ascii="Bookman Old Style" w:hAnsi="Bookman Old Style"/>
          <w:sz w:val="20"/>
          <w:szCs w:val="20"/>
        </w:rPr>
      </w:pPr>
    </w:p>
    <w:p w14:paraId="5F78677B" w14:textId="76D051A2" w:rsidR="006F1AA8" w:rsidRPr="006B6240" w:rsidRDefault="006F1AA8" w:rsidP="006F1AA8">
      <w:pPr>
        <w:rPr>
          <w:rFonts w:ascii="Bookman Old Style" w:hAnsi="Bookman Old Style"/>
          <w:sz w:val="20"/>
          <w:szCs w:val="20"/>
        </w:rPr>
      </w:pPr>
      <w:r w:rsidRPr="006B6240">
        <w:rPr>
          <w:rFonts w:ascii="Bookman Old Style" w:hAnsi="Bookman Old Style"/>
          <w:sz w:val="20"/>
          <w:szCs w:val="20"/>
        </w:rPr>
        <w:t>Pour Timbre</w:t>
      </w:r>
      <w:r w:rsidR="00F53523">
        <w:rPr>
          <w:rFonts w:ascii="Bookman Old Style" w:hAnsi="Bookman Old Style"/>
          <w:sz w:val="20"/>
          <w:szCs w:val="20"/>
        </w:rPr>
        <w:t>s</w:t>
      </w:r>
      <w:r w:rsidRPr="006B6240">
        <w:rPr>
          <w:rFonts w:ascii="Bookman Old Style" w:hAnsi="Bookman Old Style"/>
          <w:sz w:val="20"/>
          <w:szCs w:val="20"/>
        </w:rPr>
        <w:t xml:space="preserve"> Passion Chasseneuillais                          Monsieur………</w:t>
      </w:r>
      <w:proofErr w:type="gramStart"/>
      <w:r w:rsidRPr="006B6240">
        <w:rPr>
          <w:rFonts w:ascii="Bookman Old Style" w:hAnsi="Bookman Old Style"/>
          <w:sz w:val="20"/>
          <w:szCs w:val="20"/>
        </w:rPr>
        <w:t>…….</w:t>
      </w:r>
      <w:proofErr w:type="gramEnd"/>
      <w:r w:rsidRPr="006B6240">
        <w:rPr>
          <w:rFonts w:ascii="Bookman Old Style" w:hAnsi="Bookman Old Style"/>
          <w:sz w:val="20"/>
          <w:szCs w:val="20"/>
        </w:rPr>
        <w:t>.</w:t>
      </w:r>
    </w:p>
    <w:p w14:paraId="7CC2CDCF" w14:textId="13B1A25B" w:rsidR="006F1AA8" w:rsidRPr="006B6240" w:rsidRDefault="006F1AA8" w:rsidP="006F1AA8">
      <w:pPr>
        <w:rPr>
          <w:rFonts w:ascii="Bookman Old Style" w:hAnsi="Bookman Old Style"/>
          <w:sz w:val="20"/>
          <w:szCs w:val="20"/>
        </w:rPr>
      </w:pPr>
      <w:r w:rsidRPr="006B6240">
        <w:rPr>
          <w:rFonts w:ascii="Bookman Old Style" w:hAnsi="Bookman Old Style"/>
          <w:sz w:val="20"/>
          <w:szCs w:val="20"/>
        </w:rPr>
        <w:t>Jean-Michel Trillaud, président.                                 Manuscrit « lu et approuvé »</w:t>
      </w:r>
    </w:p>
    <w:p w14:paraId="20AE261F" w14:textId="1D0F4266" w:rsidR="006F1AA8" w:rsidRPr="006B6240" w:rsidRDefault="006F1AA8" w:rsidP="006F1AA8">
      <w:pPr>
        <w:rPr>
          <w:rFonts w:ascii="Bookman Old Style" w:hAnsi="Bookman Old Style"/>
          <w:sz w:val="20"/>
          <w:szCs w:val="20"/>
        </w:rPr>
      </w:pPr>
      <w:r w:rsidRPr="006B6240">
        <w:rPr>
          <w:rFonts w:ascii="Bookman Old Style" w:hAnsi="Bookman Old Style"/>
          <w:sz w:val="20"/>
          <w:szCs w:val="20"/>
        </w:rPr>
        <w:t xml:space="preserve">                                                                                  </w:t>
      </w:r>
      <w:r w:rsidR="006B6240" w:rsidRPr="006B6240">
        <w:rPr>
          <w:rFonts w:ascii="Bookman Old Style" w:hAnsi="Bookman Old Style"/>
          <w:sz w:val="20"/>
          <w:szCs w:val="20"/>
        </w:rPr>
        <w:t xml:space="preserve">et </w:t>
      </w:r>
      <w:r w:rsidRPr="006B6240">
        <w:rPr>
          <w:rFonts w:ascii="Bookman Old Style" w:hAnsi="Bookman Old Style"/>
          <w:sz w:val="20"/>
          <w:szCs w:val="20"/>
        </w:rPr>
        <w:t>signature</w:t>
      </w:r>
    </w:p>
    <w:p w14:paraId="2D7E1358" w14:textId="77777777" w:rsidR="00071981" w:rsidRPr="00071981" w:rsidRDefault="00071981" w:rsidP="00071981">
      <w:pPr>
        <w:jc w:val="center"/>
        <w:rPr>
          <w:rFonts w:ascii="Bookman Old Style" w:hAnsi="Bookman Old Style"/>
          <w:b/>
          <w:sz w:val="24"/>
          <w:szCs w:val="24"/>
        </w:rPr>
      </w:pPr>
    </w:p>
    <w:sectPr w:rsidR="00071981" w:rsidRPr="00071981" w:rsidSect="005B0D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79"/>
    <w:rsid w:val="00071981"/>
    <w:rsid w:val="001037C7"/>
    <w:rsid w:val="002A317A"/>
    <w:rsid w:val="00495661"/>
    <w:rsid w:val="005A26A4"/>
    <w:rsid w:val="005B0D2E"/>
    <w:rsid w:val="006B50B2"/>
    <w:rsid w:val="006B6240"/>
    <w:rsid w:val="006F1AA8"/>
    <w:rsid w:val="0093391B"/>
    <w:rsid w:val="009D2D63"/>
    <w:rsid w:val="00BA4CEF"/>
    <w:rsid w:val="00D17579"/>
    <w:rsid w:val="00D24B08"/>
    <w:rsid w:val="00E40465"/>
    <w:rsid w:val="00F53523"/>
    <w:rsid w:val="00F60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4820"/>
  <w15:chartTrackingRefBased/>
  <w15:docId w15:val="{9AB99A03-01B3-43BD-93A3-B851BD99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24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7E35-FE80-4093-8517-481FB8E5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TRILLAUD</dc:creator>
  <cp:keywords/>
  <dc:description/>
  <cp:lastModifiedBy>Jean-Michel TRILLAUD</cp:lastModifiedBy>
  <cp:revision>9</cp:revision>
  <cp:lastPrinted>2018-10-14T15:10:00Z</cp:lastPrinted>
  <dcterms:created xsi:type="dcterms:W3CDTF">2018-10-08T09:53:00Z</dcterms:created>
  <dcterms:modified xsi:type="dcterms:W3CDTF">2018-10-14T15:12:00Z</dcterms:modified>
</cp:coreProperties>
</file>