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B5D1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Je soussigné(e)</w:t>
      </w:r>
    </w:p>
    <w:p w14:paraId="6359DFBA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09E8C362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Nom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……………………</w:t>
      </w:r>
    </w:p>
    <w:p w14:paraId="419C2DCA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1F957826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Prénom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……………………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</w:p>
    <w:p w14:paraId="442F1482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5D329CBC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Adresse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……………………</w:t>
      </w:r>
    </w:p>
    <w:p w14:paraId="79B3CC82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01B98CDE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 xml:space="preserve">Code postal &amp; Ville </w:t>
      </w:r>
      <w:r>
        <w:rPr>
          <w:rFonts w:ascii="DejaVu Sans" w:hAnsi="DejaVu Sans"/>
        </w:rPr>
        <w:tab/>
        <w:t>……………………</w:t>
      </w:r>
    </w:p>
    <w:p w14:paraId="465DDADE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19A255AA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Téléphone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……………………</w:t>
      </w:r>
    </w:p>
    <w:p w14:paraId="03BD0B2A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06620AC6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 xml:space="preserve">Email </w:t>
      </w:r>
      <w:r>
        <w:rPr>
          <w:rFonts w:ascii="DejaVu Sans" w:hAnsi="DejaVu Sans"/>
        </w:rPr>
        <w:tab/>
        <w:t>……………………@……………………</w:t>
      </w:r>
    </w:p>
    <w:p w14:paraId="7A441076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20388A76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N° carte d'identité</w:t>
      </w:r>
      <w:r>
        <w:rPr>
          <w:rFonts w:ascii="DejaVu Sans" w:hAnsi="DejaVu Sans"/>
        </w:rPr>
        <w:tab/>
        <w:t>……………………</w:t>
      </w:r>
    </w:p>
    <w:p w14:paraId="342493A1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7A405B41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Délivrée par</w:t>
      </w:r>
      <w:r>
        <w:rPr>
          <w:rFonts w:ascii="DejaVu Sans" w:hAnsi="DejaVu Sans"/>
        </w:rPr>
        <w:tab/>
        <w:t>…………………………………………, le ……/……/……</w:t>
      </w:r>
    </w:p>
    <w:p w14:paraId="11F9CFAA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37A07AC2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Immatriculation du véhicule :</w:t>
      </w:r>
    </w:p>
    <w:p w14:paraId="229241B1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5FEED547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Déclare sur l’honneur:</w:t>
      </w:r>
    </w:p>
    <w:p w14:paraId="6878E48D" w14:textId="77777777" w:rsidR="00173FA6" w:rsidRDefault="00950F22">
      <w:pPr>
        <w:pStyle w:val="Standard"/>
        <w:numPr>
          <w:ilvl w:val="0"/>
          <w:numId w:val="1"/>
        </w:numPr>
        <w:rPr>
          <w:rFonts w:ascii="DejaVu Sans" w:hAnsi="DejaVu Sans" w:hint="eastAsia"/>
          <w:sz w:val="20"/>
          <w:szCs w:val="20"/>
        </w:rPr>
      </w:pPr>
      <w:r>
        <w:rPr>
          <w:rFonts w:ascii="DejaVu Sans" w:hAnsi="DejaVu Sans"/>
          <w:sz w:val="20"/>
          <w:szCs w:val="20"/>
        </w:rPr>
        <w:t>De ne pas être commerçant(e),</w:t>
      </w:r>
    </w:p>
    <w:p w14:paraId="00E4D450" w14:textId="77777777" w:rsidR="00173FA6" w:rsidRDefault="00950F22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DejaVu Sans" w:hAnsi="DejaVu Sans"/>
          <w:sz w:val="20"/>
          <w:szCs w:val="20"/>
        </w:rPr>
        <w:t xml:space="preserve">De ne vendre que des objets personnels et usagés (article </w:t>
      </w:r>
      <w:r>
        <w:rPr>
          <w:rStyle w:val="StrongEmphasis"/>
          <w:rFonts w:ascii="DejaVu Sans" w:hAnsi="DejaVu Sans"/>
          <w:b w:val="0"/>
          <w:bCs w:val="0"/>
          <w:sz w:val="20"/>
          <w:szCs w:val="20"/>
        </w:rPr>
        <w:t>R321-9</w:t>
      </w:r>
      <w:r>
        <w:rPr>
          <w:rFonts w:ascii="DejaVu Sans" w:hAnsi="DejaVu Sans"/>
          <w:sz w:val="20"/>
          <w:szCs w:val="20"/>
        </w:rPr>
        <w:t xml:space="preserve">  du Code Pénal)</w:t>
      </w:r>
    </w:p>
    <w:p w14:paraId="65B1A16E" w14:textId="77777777" w:rsidR="00173FA6" w:rsidRDefault="00950F22">
      <w:pPr>
        <w:pStyle w:val="Standard"/>
        <w:numPr>
          <w:ilvl w:val="0"/>
          <w:numId w:val="1"/>
        </w:numPr>
        <w:rPr>
          <w:rFonts w:ascii="DejaVu Sans" w:hAnsi="DejaVu Sans" w:hint="eastAsia"/>
        </w:rPr>
      </w:pPr>
      <w:r>
        <w:rPr>
          <w:rFonts w:ascii="DejaVu Sans" w:hAnsi="DejaVu Sans"/>
          <w:sz w:val="20"/>
          <w:szCs w:val="20"/>
        </w:rPr>
        <w:t>De non participation à 2 autres manifestations de même nature au cours de l’année civile (article R321-9 du Code Pénal)</w:t>
      </w:r>
      <w:r>
        <w:rPr>
          <w:rFonts w:ascii="DejaVu Sans" w:hAnsi="DejaVu Sans"/>
        </w:rPr>
        <w:t>.</w:t>
      </w:r>
    </w:p>
    <w:p w14:paraId="6A8AE4C8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6D77C091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Les réservations et paiements se font principalement en chèque.</w:t>
      </w:r>
    </w:p>
    <w:p w14:paraId="26237ACE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3A2AFB8A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Règlement par espèces ou par chèque à l’ordre de « C.O.S de JOEUF »</w:t>
      </w:r>
    </w:p>
    <w:p w14:paraId="1E00BAA5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à joindre obligatoirement avec ce bulletin.</w:t>
      </w:r>
    </w:p>
    <w:p w14:paraId="1D0519CB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67BB5005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17F9B067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Je réserve  ........ mètres et je joins mon règlement de …….  €uros</w:t>
      </w:r>
    </w:p>
    <w:p w14:paraId="60F11810" w14:textId="77777777" w:rsidR="00173FA6" w:rsidRDefault="00950F22">
      <w:pPr>
        <w:pStyle w:val="Standard"/>
        <w:rPr>
          <w:rFonts w:ascii="DejaVu Sans" w:hAnsi="DejaVu Sans" w:hint="eastAsia"/>
          <w:i/>
          <w:iCs/>
          <w:sz w:val="20"/>
          <w:szCs w:val="20"/>
        </w:rPr>
      </w:pPr>
      <w:r>
        <w:rPr>
          <w:rFonts w:ascii="DejaVu Sans" w:hAnsi="DejaVu Sans"/>
          <w:i/>
          <w:iCs/>
          <w:sz w:val="20"/>
          <w:szCs w:val="20"/>
        </w:rPr>
        <w:t>(aucun remboursement ne sera effectué sans motif valable et justifié)</w:t>
      </w:r>
    </w:p>
    <w:p w14:paraId="1C3503F1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38E4FE22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Fait à  .........……….............................., le .... /.... / 2025</w:t>
      </w:r>
    </w:p>
    <w:p w14:paraId="43F62010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5438EB1D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Signature</w:t>
      </w:r>
    </w:p>
    <w:p w14:paraId="26A0A78E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7C48BB43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0D4500E3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2B3FCE92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</w:rPr>
        <w:t>REGLEMENT</w:t>
      </w:r>
    </w:p>
    <w:p w14:paraId="49E4832A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5E88D113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26"/>
          <w:szCs w:val="26"/>
        </w:rPr>
      </w:pPr>
      <w:r>
        <w:rPr>
          <w:rFonts w:ascii="DejaVu Sans" w:hAnsi="DejaVu Sans"/>
          <w:b/>
          <w:bCs/>
          <w:sz w:val="26"/>
          <w:szCs w:val="26"/>
        </w:rPr>
        <w:t>Article 1 - Lieu de la brocante</w:t>
      </w:r>
    </w:p>
    <w:p w14:paraId="41C9B88B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Salle CUREL – Square Serge Leonard – école Ravenne – 54240 JOEUF</w:t>
      </w:r>
    </w:p>
    <w:p w14:paraId="72B982E3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51DF28DD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26"/>
          <w:szCs w:val="26"/>
        </w:rPr>
      </w:pPr>
      <w:r>
        <w:rPr>
          <w:rFonts w:ascii="DejaVu Sans" w:hAnsi="DejaVu Sans"/>
          <w:b/>
          <w:bCs/>
          <w:sz w:val="26"/>
          <w:szCs w:val="26"/>
        </w:rPr>
        <w:t>Article 2 -Jour &amp; heures de la brocante</w:t>
      </w:r>
    </w:p>
    <w:p w14:paraId="792F7D6C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Le Dimanche 28 septembre 2025 6 heures 00 à 18 heures 00</w:t>
      </w:r>
    </w:p>
    <w:p w14:paraId="2DEBA1F4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43B0E1EF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26"/>
          <w:szCs w:val="26"/>
        </w:rPr>
      </w:pPr>
      <w:r>
        <w:rPr>
          <w:rFonts w:ascii="DejaVu Sans" w:hAnsi="DejaVu Sans"/>
          <w:b/>
          <w:bCs/>
          <w:sz w:val="26"/>
          <w:szCs w:val="26"/>
        </w:rPr>
        <w:t>Article 3 - Produits dont la vente est interdite</w:t>
      </w:r>
    </w:p>
    <w:p w14:paraId="73D874EC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Produits alimentaires – produits neufs -</w:t>
      </w:r>
    </w:p>
    <w:p w14:paraId="520A7F8A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77CBAA12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26"/>
          <w:szCs w:val="26"/>
        </w:rPr>
      </w:pPr>
      <w:r>
        <w:rPr>
          <w:rFonts w:ascii="DejaVu Sans" w:hAnsi="DejaVu Sans"/>
          <w:b/>
          <w:bCs/>
          <w:sz w:val="26"/>
          <w:szCs w:val="26"/>
        </w:rPr>
        <w:t>Article 4 - Accessibilité à la brocante</w:t>
      </w:r>
    </w:p>
    <w:p w14:paraId="5B4865AE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Voir plan</w:t>
      </w:r>
    </w:p>
    <w:p w14:paraId="0371A8B2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3A615808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26"/>
          <w:szCs w:val="26"/>
        </w:rPr>
      </w:pPr>
      <w:r>
        <w:rPr>
          <w:rFonts w:ascii="DejaVu Sans" w:hAnsi="DejaVu Sans"/>
          <w:b/>
          <w:bCs/>
          <w:sz w:val="26"/>
          <w:szCs w:val="26"/>
        </w:rPr>
        <w:t>Article 5 -Conditions d’attribution des emplacements</w:t>
      </w:r>
    </w:p>
    <w:p w14:paraId="437AFA8E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Dans l'ordre des inscriptions avec un minimum de 5 mètres.</w:t>
      </w:r>
    </w:p>
    <w:p w14:paraId="5FEAF6A5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540508B5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26"/>
          <w:szCs w:val="26"/>
        </w:rPr>
      </w:pPr>
      <w:r>
        <w:rPr>
          <w:rFonts w:ascii="DejaVu Sans" w:hAnsi="DejaVu Sans"/>
          <w:b/>
          <w:bCs/>
          <w:sz w:val="26"/>
          <w:szCs w:val="26"/>
        </w:rPr>
        <w:t>Article 6 - Prix et modalités de paiement</w:t>
      </w:r>
    </w:p>
    <w:p w14:paraId="602BEFC1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2€ le mètre linéaire</w:t>
      </w:r>
    </w:p>
    <w:p w14:paraId="10999D74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703A128D" w14:textId="77777777" w:rsidR="00173FA6" w:rsidRDefault="00950F22">
      <w:pPr>
        <w:pStyle w:val="Standard"/>
        <w:rPr>
          <w:rFonts w:ascii="DejaVu Sans" w:hAnsi="DejaVu Sans" w:hint="eastAsia"/>
          <w:b/>
          <w:bCs/>
          <w:sz w:val="26"/>
          <w:szCs w:val="26"/>
        </w:rPr>
      </w:pPr>
      <w:r>
        <w:rPr>
          <w:rFonts w:ascii="DejaVu Sans" w:hAnsi="DejaVu Sans"/>
          <w:b/>
          <w:bCs/>
          <w:sz w:val="26"/>
          <w:szCs w:val="26"/>
        </w:rPr>
        <w:t>Article 8 - Conditions d’occupation et de libération des emplacements</w:t>
      </w:r>
    </w:p>
    <w:p w14:paraId="7EE699E3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Respect des horaires ci-dessus</w:t>
      </w:r>
    </w:p>
    <w:p w14:paraId="6FAAA49B" w14:textId="77777777" w:rsidR="00173FA6" w:rsidRDefault="00950F22">
      <w:pPr>
        <w:pStyle w:val="Standard"/>
        <w:rPr>
          <w:rFonts w:ascii="DejaVu Sans" w:hAnsi="DejaVu Sans" w:hint="eastAsia"/>
        </w:rPr>
      </w:pPr>
      <w:r>
        <w:rPr>
          <w:rFonts w:ascii="DejaVu Sans" w:hAnsi="DejaVu Sans"/>
        </w:rPr>
        <w:t>Les exposants devront laisser les emplacements propres et sans déchet.</w:t>
      </w:r>
    </w:p>
    <w:p w14:paraId="0079B3FE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57FAB71E" w14:textId="77777777" w:rsidR="00173FA6" w:rsidRDefault="00173FA6">
      <w:pPr>
        <w:pStyle w:val="Standard"/>
        <w:rPr>
          <w:rFonts w:ascii="DejaVu Sans" w:hAnsi="DejaVu Sans" w:hint="eastAsia"/>
        </w:rPr>
      </w:pPr>
    </w:p>
    <w:p w14:paraId="484FDB4E" w14:textId="77777777" w:rsidR="00173FA6" w:rsidRDefault="00950F22">
      <w:pPr>
        <w:pStyle w:val="Standard"/>
        <w:jc w:val="center"/>
        <w:rPr>
          <w:rFonts w:ascii="DejaVu Sans" w:hAnsi="DejaVu Sans" w:hint="eastAsia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</w:rPr>
        <w:t>ATTENTION</w:t>
      </w:r>
    </w:p>
    <w:p w14:paraId="3A9D29BC" w14:textId="77777777" w:rsidR="00173FA6" w:rsidRDefault="00950F22">
      <w:pPr>
        <w:pStyle w:val="Standard"/>
        <w:shd w:val="clear" w:color="auto" w:fill="999999"/>
        <w:jc w:val="center"/>
        <w:rPr>
          <w:rFonts w:ascii="DejaVu Sans" w:hAnsi="DejaVu Sans" w:hint="eastAsia"/>
          <w:b/>
          <w:bCs/>
          <w:i/>
          <w:iCs/>
        </w:rPr>
      </w:pPr>
      <w:r>
        <w:rPr>
          <w:rFonts w:ascii="DejaVu Sans" w:hAnsi="DejaVu Sans"/>
          <w:b/>
          <w:bCs/>
          <w:i/>
          <w:iCs/>
        </w:rPr>
        <w:t>LES VEHICULES ENTRANT SUR LE SITE NE POURRONT PAS EN RESSORTIR AVANT LA FIN DE LA BROCANTE</w:t>
      </w:r>
    </w:p>
    <w:sectPr w:rsidR="00173FA6">
      <w:headerReference w:type="default" r:id="rId7"/>
      <w:footerReference w:type="default" r:id="rId8"/>
      <w:pgSz w:w="12240" w:h="15840"/>
      <w:pgMar w:top="1502" w:right="1162" w:bottom="1503" w:left="1162" w:header="1162" w:footer="1163" w:gutter="0"/>
      <w:pgBorders>
        <w:bottom w:val="single" w:sz="2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691B" w14:textId="77777777" w:rsidR="00950F22" w:rsidRDefault="00950F22">
      <w:pPr>
        <w:rPr>
          <w:rFonts w:hint="eastAsia"/>
        </w:rPr>
      </w:pPr>
      <w:r>
        <w:separator/>
      </w:r>
    </w:p>
  </w:endnote>
  <w:endnote w:type="continuationSeparator" w:id="0">
    <w:p w14:paraId="0434DCB8" w14:textId="77777777" w:rsidR="00950F22" w:rsidRDefault="00950F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Verdana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D073" w14:textId="77777777" w:rsidR="00950F22" w:rsidRDefault="00950F22">
    <w:pPr>
      <w:pStyle w:val="Pieddepage"/>
      <w:jc w:val="center"/>
      <w:rPr>
        <w:rFonts w:ascii="DejaVu Sans" w:hAnsi="DejaVu Sans" w:hint="eastAsia"/>
        <w:sz w:val="20"/>
        <w:szCs w:val="20"/>
      </w:rPr>
    </w:pPr>
  </w:p>
  <w:p w14:paraId="51229BE1" w14:textId="77777777" w:rsidR="00950F22" w:rsidRDefault="00950F22">
    <w:pPr>
      <w:pStyle w:val="Pieddepage"/>
      <w:jc w:val="center"/>
      <w:rPr>
        <w:rFonts w:ascii="DejaVu Sans" w:hAnsi="DejaVu Sans" w:hint="eastAsia"/>
        <w:sz w:val="20"/>
        <w:szCs w:val="20"/>
        <w:lang w:val="fr-FR"/>
      </w:rPr>
    </w:pPr>
  </w:p>
  <w:p w14:paraId="37C2D7E3" w14:textId="77777777" w:rsidR="00950F22" w:rsidRDefault="00950F22">
    <w:pPr>
      <w:pStyle w:val="Pieddepage"/>
      <w:jc w:val="center"/>
      <w:rPr>
        <w:rFonts w:ascii="DejaVu Sans" w:hAnsi="DejaVu Sans" w:hint="eastAsia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1E4A" w14:textId="77777777" w:rsidR="00950F22" w:rsidRDefault="00950F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2711FE" w14:textId="77777777" w:rsidR="00950F22" w:rsidRDefault="00950F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70F8" w14:textId="77777777" w:rsidR="00950F22" w:rsidRDefault="00950F22">
    <w:pPr>
      <w:pStyle w:val="Standard"/>
      <w:shd w:val="clear" w:color="auto" w:fill="B2B2B2"/>
      <w:jc w:val="center"/>
      <w:rPr>
        <w:rFonts w:ascii="DejaVu Sans" w:hAnsi="DejaVu Sans" w:hint="eastAsia"/>
        <w:b/>
        <w:bCs/>
        <w:sz w:val="32"/>
        <w:szCs w:val="32"/>
      </w:rPr>
    </w:pPr>
    <w:r>
      <w:rPr>
        <w:rFonts w:ascii="DejaVu Sans" w:hAnsi="DejaVu Sans"/>
        <w:b/>
        <w:bCs/>
        <w:sz w:val="32"/>
        <w:szCs w:val="32"/>
      </w:rPr>
      <w:t>Brocante de JOEUF - Dimanche 28 septembre 2025</w:t>
    </w:r>
  </w:p>
  <w:p w14:paraId="53F9C910" w14:textId="77777777" w:rsidR="00950F22" w:rsidRDefault="00950F22">
    <w:pPr>
      <w:pStyle w:val="Standard"/>
      <w:jc w:val="center"/>
      <w:rPr>
        <w:rFonts w:ascii="DejaVu Sans" w:hAnsi="DejaVu Sans" w:hint="eastAsia"/>
        <w:sz w:val="22"/>
        <w:szCs w:val="22"/>
      </w:rPr>
    </w:pPr>
    <w:r>
      <w:rPr>
        <w:rFonts w:ascii="DejaVu Sans" w:hAnsi="DejaVu Sans"/>
        <w:sz w:val="22"/>
        <w:szCs w:val="22"/>
      </w:rPr>
      <w:t>Réponse avant le 17 septembre 2025</w:t>
    </w:r>
  </w:p>
  <w:p w14:paraId="30A34507" w14:textId="77777777" w:rsidR="00950F22" w:rsidRDefault="00950F22">
    <w:pPr>
      <w:pStyle w:val="Standard"/>
      <w:jc w:val="center"/>
      <w:rPr>
        <w:rFonts w:ascii="DejaVu Sans" w:hAnsi="DejaVu Sans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35DBD"/>
    <w:multiLevelType w:val="multilevel"/>
    <w:tmpl w:val="EB34EF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690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A6"/>
    <w:rsid w:val="00052495"/>
    <w:rsid w:val="00173FA6"/>
    <w:rsid w:val="006E469C"/>
    <w:rsid w:val="00950F22"/>
    <w:rsid w:val="00C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024C8"/>
  <w15:docId w15:val="{C9EA720F-6FA1-49C1-92CB-8C1EEA7A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 sclip</cp:lastModifiedBy>
  <cp:revision>2</cp:revision>
  <dcterms:created xsi:type="dcterms:W3CDTF">2025-04-27T09:01:00Z</dcterms:created>
  <dcterms:modified xsi:type="dcterms:W3CDTF">2025-04-27T09:01:00Z</dcterms:modified>
</cp:coreProperties>
</file>