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B3" w:rsidRDefault="00993BE5">
      <w:pPr>
        <w:pStyle w:val="Titre"/>
        <w:tabs>
          <w:tab w:val="left" w:pos="2277"/>
        </w:tabs>
      </w:pPr>
      <w:r>
        <w:t>Règlement</w:t>
      </w:r>
      <w:r>
        <w:tab/>
      </w:r>
      <w:bookmarkStart w:id="0" w:name="_GoBack"/>
      <w:bookmarkEnd w:id="0"/>
    </w:p>
    <w:p w:rsidR="00940FB3" w:rsidRDefault="00993BE5">
      <w:pPr>
        <w:spacing w:before="65"/>
        <w:ind w:left="627"/>
        <w:jc w:val="center"/>
        <w:rPr>
          <w:sz w:val="32"/>
        </w:rPr>
      </w:pPr>
      <w:r>
        <w:rPr>
          <w:sz w:val="32"/>
        </w:rPr>
        <w:t>Salle</w:t>
      </w:r>
      <w:r>
        <w:rPr>
          <w:spacing w:val="-3"/>
          <w:sz w:val="32"/>
        </w:rPr>
        <w:t xml:space="preserve"> </w:t>
      </w:r>
      <w:r>
        <w:rPr>
          <w:sz w:val="32"/>
        </w:rPr>
        <w:t>«</w:t>
      </w:r>
      <w:r>
        <w:rPr>
          <w:spacing w:val="-2"/>
          <w:sz w:val="32"/>
        </w:rPr>
        <w:t xml:space="preserve"> </w:t>
      </w:r>
      <w:r>
        <w:rPr>
          <w:sz w:val="32"/>
        </w:rPr>
        <w:t>L’Espérance</w:t>
      </w:r>
      <w:r>
        <w:rPr>
          <w:spacing w:val="-3"/>
          <w:sz w:val="32"/>
        </w:rPr>
        <w:t xml:space="preserve"> </w:t>
      </w:r>
      <w:r>
        <w:rPr>
          <w:sz w:val="32"/>
        </w:rPr>
        <w:t>»</w:t>
      </w:r>
      <w:r>
        <w:rPr>
          <w:spacing w:val="-1"/>
          <w:sz w:val="32"/>
        </w:rPr>
        <w:t xml:space="preserve"> </w:t>
      </w:r>
      <w:r>
        <w:rPr>
          <w:sz w:val="32"/>
        </w:rPr>
        <w:t>9</w:t>
      </w:r>
      <w:r>
        <w:rPr>
          <w:spacing w:val="-3"/>
          <w:sz w:val="32"/>
        </w:rPr>
        <w:t xml:space="preserve"> </w:t>
      </w:r>
      <w:r>
        <w:rPr>
          <w:sz w:val="32"/>
        </w:rPr>
        <w:t>rue</w:t>
      </w:r>
      <w:r>
        <w:rPr>
          <w:spacing w:val="-2"/>
          <w:sz w:val="32"/>
        </w:rPr>
        <w:t xml:space="preserve"> </w:t>
      </w:r>
      <w:r>
        <w:rPr>
          <w:sz w:val="32"/>
        </w:rPr>
        <w:t>Cdt</w:t>
      </w:r>
      <w:r>
        <w:rPr>
          <w:spacing w:val="-1"/>
          <w:sz w:val="32"/>
        </w:rPr>
        <w:t xml:space="preserve"> </w:t>
      </w:r>
      <w:r>
        <w:rPr>
          <w:sz w:val="32"/>
        </w:rPr>
        <w:t>Le</w:t>
      </w:r>
      <w:r>
        <w:rPr>
          <w:spacing w:val="-3"/>
          <w:sz w:val="32"/>
        </w:rPr>
        <w:t xml:space="preserve"> </w:t>
      </w:r>
      <w:r>
        <w:rPr>
          <w:sz w:val="32"/>
        </w:rPr>
        <w:t>Conniat</w:t>
      </w:r>
      <w:r>
        <w:rPr>
          <w:spacing w:val="-1"/>
          <w:sz w:val="32"/>
        </w:rPr>
        <w:t xml:space="preserve"> </w:t>
      </w:r>
      <w:r>
        <w:rPr>
          <w:sz w:val="32"/>
        </w:rPr>
        <w:t>22410</w:t>
      </w:r>
      <w:r>
        <w:rPr>
          <w:spacing w:val="-3"/>
          <w:sz w:val="32"/>
        </w:rPr>
        <w:t xml:space="preserve"> </w:t>
      </w:r>
      <w:r>
        <w:rPr>
          <w:sz w:val="32"/>
        </w:rPr>
        <w:t>Saint-Quay-Portrieux</w:t>
      </w:r>
    </w:p>
    <w:p w:rsidR="00940FB3" w:rsidRDefault="00993BE5">
      <w:pPr>
        <w:pStyle w:val="Corpsdetexte"/>
        <w:spacing w:before="256" w:line="276" w:lineRule="auto"/>
        <w:ind w:right="151"/>
      </w:pPr>
      <w:r>
        <w:rPr>
          <w:b/>
          <w:u w:val="single"/>
        </w:rPr>
        <w:t>Article 1</w:t>
      </w:r>
      <w:r>
        <w:rPr>
          <w:b/>
        </w:rPr>
        <w:t xml:space="preserve"> </w:t>
      </w:r>
      <w:r>
        <w:t>– Les objets d’intérêt historique, armes (voir article 17), pièces d’uniformes, médailles, décorations,</w:t>
      </w:r>
      <w:r>
        <w:rPr>
          <w:spacing w:val="1"/>
        </w:rPr>
        <w:t xml:space="preserve"> </w:t>
      </w:r>
      <w:r>
        <w:t>gravures, documents, pièces détachées mécaniques, etc. Sont admis à figurer à cette bourse à l’exclusion de tout</w:t>
      </w:r>
      <w:r>
        <w:rPr>
          <w:spacing w:val="1"/>
        </w:rPr>
        <w:t xml:space="preserve"> </w:t>
      </w:r>
      <w:r>
        <w:t>document ou emblème ayant trait au racisme. Tout exposant devra se conformer à la législation en vigueur sur les</w:t>
      </w:r>
      <w:r>
        <w:rPr>
          <w:spacing w:val="-47"/>
        </w:rPr>
        <w:t xml:space="preserve"> </w:t>
      </w:r>
      <w:r>
        <w:t>armes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munitions.</w:t>
      </w:r>
    </w:p>
    <w:p w:rsidR="00940FB3" w:rsidRDefault="00993BE5">
      <w:pPr>
        <w:pStyle w:val="Corpsdetexte"/>
        <w:spacing w:line="267" w:lineRule="exact"/>
      </w:pPr>
      <w:r>
        <w:rPr>
          <w:b/>
          <w:u w:val="single"/>
        </w:rPr>
        <w:t>Article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objets</w:t>
      </w:r>
      <w:r>
        <w:rPr>
          <w:spacing w:val="-2"/>
        </w:rPr>
        <w:t xml:space="preserve"> </w:t>
      </w:r>
      <w:r>
        <w:t>exposés</w:t>
      </w:r>
      <w:r>
        <w:rPr>
          <w:spacing w:val="-4"/>
        </w:rPr>
        <w:t xml:space="preserve"> </w:t>
      </w:r>
      <w:r>
        <w:t>demeurent sous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responsabilité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l’exposant,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compris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sécurité.</w:t>
      </w:r>
    </w:p>
    <w:p w:rsidR="00940FB3" w:rsidRDefault="00993BE5">
      <w:pPr>
        <w:pStyle w:val="Corpsdetexte"/>
        <w:spacing w:before="41" w:line="276" w:lineRule="auto"/>
        <w:ind w:right="457"/>
      </w:pPr>
      <w:r>
        <w:t>Les organisateurs dégagent toutes responsabilité en cas de perte, de vol, de détérioration ou litige résultant du</w:t>
      </w:r>
      <w:r>
        <w:rPr>
          <w:spacing w:val="-47"/>
        </w:rPr>
        <w:t xml:space="preserve"> </w:t>
      </w:r>
      <w:r>
        <w:t>non-respect des</w:t>
      </w:r>
      <w:r>
        <w:rPr>
          <w:spacing w:val="-2"/>
        </w:rPr>
        <w:t xml:space="preserve"> </w:t>
      </w:r>
      <w:r>
        <w:t>articles ci-dessous.</w:t>
      </w:r>
    </w:p>
    <w:p w:rsidR="00940FB3" w:rsidRDefault="00993BE5">
      <w:pPr>
        <w:pStyle w:val="Corpsdetexte"/>
        <w:spacing w:line="276" w:lineRule="auto"/>
        <w:ind w:right="359" w:hanging="1"/>
      </w:pPr>
      <w:r>
        <w:rPr>
          <w:b/>
          <w:u w:val="single"/>
        </w:rPr>
        <w:t>Article 3</w:t>
      </w:r>
      <w:r>
        <w:rPr>
          <w:b/>
        </w:rPr>
        <w:t xml:space="preserve"> </w:t>
      </w:r>
      <w:r>
        <w:t>– En cas d’absence ou de désistement, le remboursement ne sera effectué qu’en cas d’une maladie ou</w:t>
      </w:r>
      <w:r>
        <w:rPr>
          <w:spacing w:val="1"/>
        </w:rPr>
        <w:t xml:space="preserve"> </w:t>
      </w:r>
      <w:r>
        <w:t>d’un accident justifié. Les réservations se feront dans l’ordre d’arrivée des bulletins d’adhésions et dans la limite</w:t>
      </w:r>
      <w:r>
        <w:rPr>
          <w:spacing w:val="-47"/>
        </w:rPr>
        <w:t xml:space="preserve"> </w:t>
      </w:r>
      <w:r>
        <w:t>des disponibilités. Au cas où un exposant ne serait pas présent à 9 h. et n’aurait pas prévenu de son retard, les</w:t>
      </w:r>
      <w:r>
        <w:rPr>
          <w:spacing w:val="1"/>
        </w:rPr>
        <w:t xml:space="preserve"> </w:t>
      </w:r>
      <w:r>
        <w:t>organisateurs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réservent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disposer de</w:t>
      </w:r>
      <w:r>
        <w:rPr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emplacement.</w:t>
      </w:r>
    </w:p>
    <w:p w:rsidR="00940FB3" w:rsidRDefault="00993BE5">
      <w:pPr>
        <w:pStyle w:val="Corpsdetexte"/>
        <w:spacing w:line="276" w:lineRule="auto"/>
        <w:ind w:right="196"/>
      </w:pPr>
      <w:r>
        <w:rPr>
          <w:b/>
          <w:u w:val="single"/>
        </w:rPr>
        <w:t>Article 4</w:t>
      </w:r>
      <w:r>
        <w:rPr>
          <w:b/>
        </w:rPr>
        <w:t xml:space="preserve"> </w:t>
      </w:r>
      <w:r>
        <w:t>– Il est interdit de fixer par quelques moyens que ce soit des présentoirs ou autres objets sur les murs de</w:t>
      </w:r>
      <w:r>
        <w:rPr>
          <w:spacing w:val="-47"/>
        </w:rPr>
        <w:t xml:space="preserve"> </w:t>
      </w:r>
      <w:r>
        <w:t>la salle. Tous objets lourds tels que jerricans, caisses, ou autres déposés sur le sol devront être mis sur des cartons</w:t>
      </w:r>
      <w:r>
        <w:rPr>
          <w:spacing w:val="-47"/>
        </w:rPr>
        <w:t xml:space="preserve"> </w:t>
      </w:r>
      <w:r>
        <w:t>ceci afin de ne pas détériorer le parquet. Toutes détériorations constatées seront à la charge des exposants</w:t>
      </w:r>
      <w:r>
        <w:rPr>
          <w:spacing w:val="1"/>
        </w:rPr>
        <w:t xml:space="preserve"> </w:t>
      </w:r>
      <w:r>
        <w:rPr>
          <w:b/>
          <w:u w:val="single"/>
        </w:rPr>
        <w:t>Article 5</w:t>
      </w:r>
      <w:r>
        <w:rPr>
          <w:b/>
        </w:rPr>
        <w:t xml:space="preserve"> </w:t>
      </w:r>
      <w:r>
        <w:t>– L’exposition et la vente du troisième Reich et de l’Italie fasciste ne devront en aucun cas servir de</w:t>
      </w:r>
      <w:r>
        <w:rPr>
          <w:spacing w:val="1"/>
        </w:rPr>
        <w:t xml:space="preserve"> </w:t>
      </w:r>
      <w:r>
        <w:t>prétexte à une apologie de ces deux régimes et de leur idéologie. Tous les symboles du régime nazis sont</w:t>
      </w:r>
      <w:r>
        <w:rPr>
          <w:spacing w:val="1"/>
        </w:rPr>
        <w:t xml:space="preserve"> </w:t>
      </w:r>
      <w:r>
        <w:t>strictement interdit. La mise en évidence sur les stands d’effigies de personnalités de l’Allemagne nazie, de l’Italie</w:t>
      </w:r>
      <w:r>
        <w:rPr>
          <w:spacing w:val="-47"/>
        </w:rPr>
        <w:t xml:space="preserve"> </w:t>
      </w:r>
      <w:r>
        <w:t>fasciste et du régime de vichy, sous quelque forme que ce soit, est interdite. Les organisateurs pourront à tout</w:t>
      </w:r>
      <w:r>
        <w:rPr>
          <w:spacing w:val="1"/>
        </w:rPr>
        <w:t xml:space="preserve"> </w:t>
      </w:r>
      <w:r>
        <w:t>moment faire</w:t>
      </w:r>
      <w:r>
        <w:rPr>
          <w:spacing w:val="-2"/>
        </w:rPr>
        <w:t xml:space="preserve"> </w:t>
      </w:r>
      <w:r>
        <w:t>retirer, sans</w:t>
      </w:r>
      <w:r>
        <w:rPr>
          <w:spacing w:val="-2"/>
        </w:rPr>
        <w:t xml:space="preserve"> </w:t>
      </w:r>
      <w:r>
        <w:t>appel</w:t>
      </w:r>
      <w:r>
        <w:rPr>
          <w:spacing w:val="-1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objet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document en</w:t>
      </w:r>
      <w:r>
        <w:rPr>
          <w:spacing w:val="-3"/>
        </w:rPr>
        <w:t xml:space="preserve"> </w:t>
      </w:r>
      <w:r>
        <w:t>état</w:t>
      </w:r>
      <w:r>
        <w:rPr>
          <w:spacing w:val="-2"/>
        </w:rPr>
        <w:t xml:space="preserve"> </w:t>
      </w:r>
      <w:r>
        <w:t>démonstratif.</w:t>
      </w:r>
    </w:p>
    <w:p w:rsidR="00940FB3" w:rsidRDefault="00993BE5">
      <w:pPr>
        <w:pStyle w:val="Corpsdetexte"/>
        <w:spacing w:before="1" w:line="276" w:lineRule="auto"/>
        <w:ind w:right="185"/>
      </w:pPr>
      <w:r>
        <w:rPr>
          <w:b/>
          <w:u w:val="single"/>
        </w:rPr>
        <w:t>Article 6</w:t>
      </w:r>
      <w:r>
        <w:rPr>
          <w:b/>
        </w:rPr>
        <w:t xml:space="preserve"> </w:t>
      </w:r>
      <w:r>
        <w:t>– Les organisateurs se réservent le droit de refuser toute demande de réservation ou d’exclure toute</w:t>
      </w:r>
      <w:r>
        <w:rPr>
          <w:spacing w:val="1"/>
        </w:rPr>
        <w:t xml:space="preserve"> </w:t>
      </w:r>
      <w:r>
        <w:t>personne qui pourrait troubler ou troublerait l’ordre ou la moralité de la bourse. Ils se réservent le droit d’annuler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bourse</w:t>
      </w:r>
      <w:r>
        <w:rPr>
          <w:spacing w:val="-2"/>
        </w:rPr>
        <w:t xml:space="preserve"> </w:t>
      </w:r>
      <w:r>
        <w:t>sans en</w:t>
      </w:r>
      <w:r>
        <w:rPr>
          <w:spacing w:val="-2"/>
        </w:rPr>
        <w:t xml:space="preserve"> </w:t>
      </w:r>
      <w:r>
        <w:t>donner les raisons.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cas,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droits d’inscriptions seront</w:t>
      </w:r>
      <w:r>
        <w:rPr>
          <w:spacing w:val="-3"/>
        </w:rPr>
        <w:t xml:space="preserve"> </w:t>
      </w:r>
      <w:r>
        <w:t>rendus.</w:t>
      </w:r>
    </w:p>
    <w:p w:rsidR="00940FB3" w:rsidRDefault="00993BE5">
      <w:pPr>
        <w:pStyle w:val="Corpsdetexte"/>
        <w:spacing w:line="276" w:lineRule="auto"/>
        <w:ind w:right="128"/>
      </w:pPr>
      <w:r>
        <w:rPr>
          <w:b/>
          <w:u w:val="single"/>
        </w:rPr>
        <w:t>Article 7</w:t>
      </w:r>
      <w:r>
        <w:rPr>
          <w:b/>
        </w:rPr>
        <w:t xml:space="preserve"> </w:t>
      </w:r>
      <w:r>
        <w:t>– Le présent règlement pourra être modifié à la demande des autorités ou en fonction de la législation.</w:t>
      </w:r>
      <w:r>
        <w:rPr>
          <w:spacing w:val="1"/>
        </w:rPr>
        <w:t xml:space="preserve"> </w:t>
      </w:r>
      <w:r>
        <w:rPr>
          <w:b/>
          <w:u w:val="single"/>
        </w:rPr>
        <w:t>Article 8</w:t>
      </w:r>
      <w:r>
        <w:rPr>
          <w:b/>
        </w:rPr>
        <w:t xml:space="preserve"> </w:t>
      </w:r>
      <w:r>
        <w:t>- Les exposants s’engagent à respecter le présent règlement.</w:t>
      </w:r>
      <w:r>
        <w:rPr>
          <w:spacing w:val="1"/>
        </w:rPr>
        <w:t xml:space="preserve"> </w:t>
      </w:r>
      <w:r>
        <w:t>Les exposants et vendeurs doivent se prêter</w:t>
      </w:r>
      <w:r>
        <w:rPr>
          <w:spacing w:val="-47"/>
        </w:rPr>
        <w:t xml:space="preserve"> </w:t>
      </w:r>
      <w:r>
        <w:t>à l’identification conformément à la loi n°87-962 du 30 novembre 1987 (décret</w:t>
      </w:r>
      <w:r>
        <w:rPr>
          <w:spacing w:val="1"/>
        </w:rPr>
        <w:t xml:space="preserve"> </w:t>
      </w:r>
      <w:r>
        <w:t>n°87-977 du 04 décembre 1987).</w:t>
      </w:r>
      <w:r>
        <w:rPr>
          <w:spacing w:val="1"/>
        </w:rPr>
        <w:t xml:space="preserve"> </w:t>
      </w:r>
      <w:r>
        <w:rPr>
          <w:b/>
          <w:u w:val="single"/>
        </w:rPr>
        <w:t>Article 9</w:t>
      </w:r>
      <w:r>
        <w:rPr>
          <w:b/>
        </w:rPr>
        <w:t xml:space="preserve"> </w:t>
      </w:r>
      <w:r>
        <w:t>– Les exposants et visiteurs doivent respecter les consignes de sécurité et laisser les issues de secours</w:t>
      </w:r>
      <w:r>
        <w:rPr>
          <w:spacing w:val="1"/>
        </w:rPr>
        <w:t xml:space="preserve"> </w:t>
      </w:r>
      <w:r>
        <w:t>libres.</w:t>
      </w:r>
    </w:p>
    <w:p w:rsidR="00940FB3" w:rsidRDefault="00993BE5">
      <w:pPr>
        <w:pStyle w:val="Corpsdetexte"/>
        <w:spacing w:line="276" w:lineRule="auto"/>
        <w:ind w:right="645" w:hanging="1"/>
      </w:pPr>
      <w:r>
        <w:rPr>
          <w:b/>
          <w:u w:val="single"/>
        </w:rPr>
        <w:t>Article 10</w:t>
      </w:r>
      <w:r>
        <w:t>– Le décret n° 22018-542 du 29 juin 2018 en vigueur le 1</w:t>
      </w:r>
      <w:r>
        <w:rPr>
          <w:vertAlign w:val="superscript"/>
        </w:rPr>
        <w:t>er</w:t>
      </w:r>
      <w:r>
        <w:t xml:space="preserve"> aout 2018 modifie, de façon sensible, les</w:t>
      </w:r>
      <w:r>
        <w:rPr>
          <w:spacing w:val="-47"/>
        </w:rPr>
        <w:t xml:space="preserve"> </w:t>
      </w:r>
      <w:r>
        <w:t>modalités d’acquisition et de vente des armes de tir et de chasse, les armes neutralisées sont également</w:t>
      </w:r>
      <w:r>
        <w:rPr>
          <w:spacing w:val="1"/>
        </w:rPr>
        <w:t xml:space="preserve"> </w:t>
      </w:r>
      <w:r>
        <w:t>concernées, de même que les munitions, avant toute transaction en cas de doutes prendre connaissance du</w:t>
      </w:r>
      <w:r>
        <w:rPr>
          <w:spacing w:val="1"/>
        </w:rPr>
        <w:t xml:space="preserve"> </w:t>
      </w:r>
      <w:r>
        <w:t>présent décret</w:t>
      </w:r>
      <w:r>
        <w:rPr>
          <w:spacing w:val="-2"/>
        </w:rPr>
        <w:t xml:space="preserve"> </w:t>
      </w:r>
      <w:r>
        <w:t>précité.</w:t>
      </w:r>
    </w:p>
    <w:p w:rsidR="00940FB3" w:rsidRDefault="00993BE5">
      <w:pPr>
        <w:pStyle w:val="Corpsdetexte"/>
        <w:spacing w:line="276" w:lineRule="auto"/>
        <w:ind w:right="128"/>
      </w:pPr>
      <w:r>
        <w:rPr>
          <w:b/>
          <w:u w:val="single"/>
        </w:rPr>
        <w:t>Article 11</w:t>
      </w:r>
      <w:r>
        <w:rPr>
          <w:b/>
        </w:rPr>
        <w:t xml:space="preserve"> </w:t>
      </w:r>
      <w:r>
        <w:t>- Conformément à la nouvelle législation en matière d’armes, cette bourse ne pourra donner lieu qu’aux</w:t>
      </w:r>
      <w:r>
        <w:rPr>
          <w:spacing w:val="-47"/>
        </w:rPr>
        <w:t xml:space="preserve"> </w:t>
      </w:r>
      <w:r>
        <w:t>activités suivantes :</w:t>
      </w:r>
      <w:r>
        <w:rPr>
          <w:spacing w:val="1"/>
        </w:rPr>
        <w:t xml:space="preserve"> </w:t>
      </w:r>
      <w:r>
        <w:t>Cession entre particuliers, visiteurs et exposants, d’armes dont la détention et la circulation</w:t>
      </w:r>
      <w:r>
        <w:rPr>
          <w:spacing w:val="1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conformité</w:t>
      </w:r>
      <w:r>
        <w:rPr>
          <w:spacing w:val="1"/>
        </w:rPr>
        <w:t xml:space="preserve"> </w:t>
      </w:r>
      <w:r>
        <w:t>avec la</w:t>
      </w:r>
      <w:r>
        <w:rPr>
          <w:spacing w:val="-5"/>
        </w:rPr>
        <w:t xml:space="preserve"> </w:t>
      </w:r>
      <w:r>
        <w:t>législation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vigueur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bourse.</w:t>
      </w:r>
    </w:p>
    <w:p w:rsidR="00940FB3" w:rsidRDefault="00993BE5">
      <w:pPr>
        <w:pStyle w:val="Corpsdetexte"/>
        <w:spacing w:line="276" w:lineRule="auto"/>
        <w:ind w:right="397"/>
      </w:pPr>
      <w:r>
        <w:t>Exposition et vente par les professionnels de l’armurerie, d’armes à feu des catégories telles que décrites dans</w:t>
      </w:r>
      <w:r>
        <w:rPr>
          <w:spacing w:val="1"/>
        </w:rPr>
        <w:t xml:space="preserve"> </w:t>
      </w:r>
      <w:r>
        <w:t>l’Article L311-1 -Article L311-2 -Article L311-3 -Article L311-4 suivant la réforme de la réglementation des armes</w:t>
      </w:r>
      <w:r>
        <w:rPr>
          <w:spacing w:val="-47"/>
        </w:rPr>
        <w:t xml:space="preserve"> </w:t>
      </w:r>
      <w:r>
        <w:t>reposant notamment sur les dispositions de la loi n°2012-304 du 6 mars 2012 et du décret du 30 juillet 2013,</w:t>
      </w:r>
      <w:r>
        <w:rPr>
          <w:spacing w:val="1"/>
        </w:rPr>
        <w:t xml:space="preserve"> </w:t>
      </w:r>
      <w:r>
        <w:t>transposée d'une directive</w:t>
      </w:r>
      <w:r>
        <w:rPr>
          <w:spacing w:val="-3"/>
        </w:rPr>
        <w:t xml:space="preserve"> </w:t>
      </w:r>
      <w:r>
        <w:t>européenne.</w:t>
      </w:r>
      <w:r>
        <w:rPr>
          <w:spacing w:val="-1"/>
        </w:rPr>
        <w:t xml:space="preserve"> </w:t>
      </w:r>
      <w:r>
        <w:t>Puis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entendu</w:t>
      </w:r>
      <w:r>
        <w:rPr>
          <w:spacing w:val="-2"/>
        </w:rPr>
        <w:t xml:space="preserve"> </w:t>
      </w:r>
      <w:r>
        <w:t>de toute nouvelle</w:t>
      </w:r>
      <w:r>
        <w:rPr>
          <w:spacing w:val="1"/>
        </w:rPr>
        <w:t xml:space="preserve"> </w:t>
      </w:r>
      <w:r>
        <w:t>législation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citée…</w:t>
      </w:r>
    </w:p>
    <w:p w:rsidR="00940FB3" w:rsidRDefault="00993BE5">
      <w:pPr>
        <w:pStyle w:val="Corpsdetexte"/>
        <w:spacing w:line="276" w:lineRule="auto"/>
        <w:ind w:right="170"/>
      </w:pPr>
      <w:r>
        <w:rPr>
          <w:b/>
          <w:u w:val="single"/>
        </w:rPr>
        <w:t>Article 12</w:t>
      </w:r>
      <w:r>
        <w:rPr>
          <w:b/>
        </w:rPr>
        <w:t xml:space="preserve"> </w:t>
      </w:r>
      <w:r>
        <w:t>- Contrevenir à l’article 11 tombe sous le coup de la loi et motive pour son auteur l’intervention des</w:t>
      </w:r>
      <w:r>
        <w:rPr>
          <w:spacing w:val="1"/>
        </w:rPr>
        <w:t xml:space="preserve"> </w:t>
      </w:r>
      <w:r>
        <w:t>autorités sans engager la responsabilité des organisateurs. Le non-respect de l’article 1 expose son auteur à</w:t>
      </w:r>
      <w:r>
        <w:rPr>
          <w:spacing w:val="1"/>
        </w:rPr>
        <w:t xml:space="preserve"> </w:t>
      </w:r>
      <w:r>
        <w:t>l’exclusion immédiate de la bourse après un premier avertissement par les organisateurs avec au besoin l’aide des</w:t>
      </w:r>
      <w:r>
        <w:rPr>
          <w:spacing w:val="-47"/>
        </w:rPr>
        <w:t xml:space="preserve"> </w:t>
      </w:r>
      <w:r>
        <w:t>autorités</w:t>
      </w:r>
      <w:r>
        <w:rPr>
          <w:spacing w:val="-1"/>
        </w:rPr>
        <w:t xml:space="preserve"> </w:t>
      </w:r>
      <w:r>
        <w:t>locales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Gendarmerie.</w:t>
      </w:r>
    </w:p>
    <w:p w:rsidR="00940FB3" w:rsidRDefault="00940FB3">
      <w:pPr>
        <w:pStyle w:val="Corpsdetexte"/>
        <w:spacing w:before="5"/>
        <w:ind w:left="0"/>
        <w:rPr>
          <w:sz w:val="16"/>
        </w:rPr>
      </w:pPr>
    </w:p>
    <w:p w:rsidR="00940FB3" w:rsidRDefault="00993BE5">
      <w:pPr>
        <w:pStyle w:val="Corpsdetexte"/>
        <w:tabs>
          <w:tab w:val="left" w:pos="3937"/>
        </w:tabs>
      </w:pPr>
      <w:r>
        <w:t>Nom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……………………………………………….</w:t>
      </w:r>
      <w:r>
        <w:tab/>
        <w:t>Prénom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………………………………………………………….</w:t>
      </w:r>
    </w:p>
    <w:p w:rsidR="00940FB3" w:rsidRDefault="00940FB3">
      <w:pPr>
        <w:pStyle w:val="Corpsdetexte"/>
        <w:spacing w:before="8"/>
        <w:ind w:left="0"/>
        <w:rPr>
          <w:sz w:val="19"/>
        </w:rPr>
      </w:pPr>
    </w:p>
    <w:p w:rsidR="00940FB3" w:rsidRDefault="00993BE5">
      <w:pPr>
        <w:pStyle w:val="Corpsdetexte"/>
      </w:pPr>
      <w:r>
        <w:t>Date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……………………………………………….</w:t>
      </w:r>
    </w:p>
    <w:p w:rsidR="00940FB3" w:rsidRDefault="00940FB3">
      <w:pPr>
        <w:pStyle w:val="Corpsdetexte"/>
        <w:spacing w:before="8"/>
        <w:ind w:left="0"/>
        <w:rPr>
          <w:sz w:val="19"/>
        </w:rPr>
      </w:pPr>
    </w:p>
    <w:p w:rsidR="00940FB3" w:rsidRDefault="00993BE5">
      <w:pPr>
        <w:pStyle w:val="Corpsdetexte"/>
      </w:pPr>
      <w:r>
        <w:t>Signature</w:t>
      </w:r>
      <w:r>
        <w:rPr>
          <w:spacing w:val="-1"/>
        </w:rPr>
        <w:t xml:space="preserve"> </w:t>
      </w:r>
      <w:r>
        <w:t>précédée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lu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approuvé</w:t>
      </w:r>
      <w:r>
        <w:rPr>
          <w:spacing w:val="-1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…………………………………………………………………………….</w:t>
      </w:r>
    </w:p>
    <w:sectPr w:rsidR="00940FB3">
      <w:type w:val="continuous"/>
      <w:pgSz w:w="11910" w:h="16840"/>
      <w:pgMar w:top="40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B3"/>
    <w:rsid w:val="00940FB3"/>
    <w:rsid w:val="00993BE5"/>
    <w:rsid w:val="00AC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69AD"/>
  <w15:docId w15:val="{015054AE-EA47-44D0-AF90-FB31843F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7"/>
    </w:pPr>
  </w:style>
  <w:style w:type="paragraph" w:styleId="Titre">
    <w:name w:val="Title"/>
    <w:basedOn w:val="Normal"/>
    <w:uiPriority w:val="1"/>
    <w:qFormat/>
    <w:pPr>
      <w:spacing w:before="11"/>
      <w:ind w:left="455"/>
      <w:jc w:val="center"/>
    </w:pPr>
    <w:rPr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</dc:creator>
  <cp:lastModifiedBy>Jean-François</cp:lastModifiedBy>
  <cp:revision>2</cp:revision>
  <dcterms:created xsi:type="dcterms:W3CDTF">2025-05-16T16:53:00Z</dcterms:created>
  <dcterms:modified xsi:type="dcterms:W3CDTF">2025-05-16T16:53:00Z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2024-08-22T00:00:00Z</vt:filetime>
  </property>
</Properties>
</file>